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B7C1" w14:textId="77777777" w:rsidR="00C232FD" w:rsidRDefault="00C232FD" w:rsidP="00C23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</w:t>
      </w:r>
    </w:p>
    <w:p w14:paraId="00DE42E8" w14:textId="77777777" w:rsidR="00C232FD" w:rsidRDefault="00C232FD" w:rsidP="00C23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"Красноярский государственный медицинский университет</w:t>
      </w:r>
    </w:p>
    <w:p w14:paraId="69B95EF3" w14:textId="77777777" w:rsidR="00C232FD" w:rsidRDefault="00C232FD" w:rsidP="00C23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профессора В. Ф. Войно-Ясенецкого"</w:t>
      </w:r>
    </w:p>
    <w:p w14:paraId="077C719D" w14:textId="77777777" w:rsidR="00C232FD" w:rsidRDefault="00C232FD" w:rsidP="00C23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14:paraId="4C1F511A" w14:textId="77777777" w:rsidR="00C232FD" w:rsidRDefault="00C232FD" w:rsidP="00C23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травматологии, ортопедии и нейрохирургии с курсом ПО</w:t>
      </w:r>
    </w:p>
    <w:p w14:paraId="68772DB5" w14:textId="77777777" w:rsidR="00C232FD" w:rsidRDefault="00C232FD" w:rsidP="00C232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кафедры</w:t>
      </w:r>
    </w:p>
    <w:p w14:paraId="3F215BBC" w14:textId="77777777" w:rsidR="00C232FD" w:rsidRDefault="00C232FD" w:rsidP="00C232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доцент Шнякин П.Г</w:t>
      </w:r>
    </w:p>
    <w:p w14:paraId="7DC9131C" w14:textId="77777777" w:rsidR="00C232FD" w:rsidRDefault="00C232FD" w:rsidP="00C23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</w:t>
      </w:r>
    </w:p>
    <w:p w14:paraId="25EF14E1" w14:textId="61D3277C" w:rsidR="00C232FD" w:rsidRDefault="00C232FD" w:rsidP="00C23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641766">
        <w:rPr>
          <w:rFonts w:ascii="Times New Roman" w:hAnsi="Times New Roman" w:cs="Times New Roman"/>
          <w:sz w:val="24"/>
          <w:szCs w:val="24"/>
        </w:rPr>
        <w:t>П</w:t>
      </w:r>
      <w:r w:rsidR="00641766" w:rsidRPr="00641766">
        <w:rPr>
          <w:rFonts w:ascii="Times New Roman" w:hAnsi="Times New Roman" w:cs="Times New Roman"/>
          <w:sz w:val="24"/>
          <w:szCs w:val="24"/>
        </w:rPr>
        <w:t>овреждение передней крестообразной связки. Принцип оперативного лечения повреждения ПКС с помощью артроскопии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000D161" w14:textId="77777777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1A6D67AF" w14:textId="77777777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722F5832" w14:textId="77777777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1D577C23" w14:textId="77777777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40421BDD" w14:textId="77777777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4333BC42" w14:textId="77777777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32CA1B0D" w14:textId="77777777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0E7C8ADB" w14:textId="77777777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5AE7B1D3" w14:textId="77777777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059DC353" w14:textId="77777777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105AE833" w14:textId="77777777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0A8AA3FA" w14:textId="77777777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03C1712F" w14:textId="77777777" w:rsidR="00C232FD" w:rsidRDefault="00C232FD" w:rsidP="00C232F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ординатор 1 года</w:t>
      </w:r>
    </w:p>
    <w:p w14:paraId="2F1FD6DE" w14:textId="77777777" w:rsidR="00C232FD" w:rsidRDefault="00C232FD" w:rsidP="00C232F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травматологии, ортопедии</w:t>
      </w:r>
    </w:p>
    <w:p w14:paraId="7382BE5D" w14:textId="77777777" w:rsidR="00C232FD" w:rsidRDefault="00C232FD" w:rsidP="00C232F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нейрохирургии с курсом ПО</w:t>
      </w:r>
    </w:p>
    <w:p w14:paraId="79CDED11" w14:textId="77777777" w:rsidR="00C232FD" w:rsidRDefault="00C232FD" w:rsidP="00C232F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Поспелов Юрий Владимирович</w:t>
      </w:r>
    </w:p>
    <w:p w14:paraId="6C0CABF8" w14:textId="77777777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3D2E409B" w14:textId="77777777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3271495C" w14:textId="77777777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3F181A1A" w14:textId="77777777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1AAE1C75" w14:textId="77777777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54FC2696" w14:textId="77777777" w:rsidR="00C232FD" w:rsidRDefault="00C232FD" w:rsidP="00C232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Красноярск, 2022</w:t>
      </w:r>
    </w:p>
    <w:p w14:paraId="2B90C1E5" w14:textId="3AADC804" w:rsidR="00C232FD" w:rsidRDefault="00C232FD" w:rsidP="00C232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32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Клиническая классификация</w:t>
      </w:r>
    </w:p>
    <w:p w14:paraId="37DF12D3" w14:textId="77777777" w:rsidR="00C232FD" w:rsidRPr="00C232FD" w:rsidRDefault="00C232FD" w:rsidP="00C232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6B36B8" w14:textId="2173C771" w:rsidR="00C232FD" w:rsidRP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Выделяют три степени повреждения:</w:t>
      </w:r>
    </w:p>
    <w:p w14:paraId="0B1F2A75" w14:textId="1E3C0770" w:rsidR="00C232FD" w:rsidRPr="00C232FD" w:rsidRDefault="00C232FD" w:rsidP="00C232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I степень – разрыв минимального числа волокон связки с локальной</w:t>
      </w:r>
    </w:p>
    <w:p w14:paraId="45AC767D" w14:textId="77777777" w:rsidR="00C232FD" w:rsidRP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болезненностью, но без нарушения стабильности;</w:t>
      </w:r>
    </w:p>
    <w:p w14:paraId="044A64CB" w14:textId="7F2C34F9" w:rsidR="00C232FD" w:rsidRPr="00C232FD" w:rsidRDefault="00C232FD" w:rsidP="00C232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II степень – разрыв большего числа волокон связки, протекающий</w:t>
      </w:r>
    </w:p>
    <w:p w14:paraId="350968E2" w14:textId="77777777" w:rsidR="00C232FD" w:rsidRP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более болезненно, с выраженной реакцией сустава, снижением егофункции,</w:t>
      </w:r>
    </w:p>
    <w:p w14:paraId="4509753A" w14:textId="77777777" w:rsidR="00C232FD" w:rsidRP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но также без нарушения стабильности;</w:t>
      </w:r>
    </w:p>
    <w:p w14:paraId="16E304B8" w14:textId="7AA292A9" w:rsidR="00C232FD" w:rsidRPr="00C232FD" w:rsidRDefault="00C232FD" w:rsidP="00C232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III степень – полный разрыв связки с нарушением стабильности</w:t>
      </w:r>
    </w:p>
    <w:p w14:paraId="1E38C7BC" w14:textId="40C2BA13" w:rsid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сустава.</w:t>
      </w:r>
    </w:p>
    <w:p w14:paraId="09695215" w14:textId="77777777" w:rsidR="00C232FD" w:rsidRPr="00C232FD" w:rsidRDefault="00C232FD" w:rsidP="00C232FD">
      <w:pPr>
        <w:rPr>
          <w:rFonts w:ascii="Times New Roman" w:hAnsi="Times New Roman" w:cs="Times New Roman"/>
          <w:sz w:val="24"/>
          <w:szCs w:val="24"/>
        </w:rPr>
      </w:pPr>
    </w:p>
    <w:p w14:paraId="03533651" w14:textId="77777777" w:rsidR="00C232FD" w:rsidRPr="00C232FD" w:rsidRDefault="00C232FD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NB! При III степени повреждения выделяют в свою очередь, 3 степени</w:t>
      </w:r>
    </w:p>
    <w:p w14:paraId="2A576BB0" w14:textId="77777777" w:rsidR="00C232FD" w:rsidRPr="00C232FD" w:rsidRDefault="00C232FD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выраженности нестабильности, проявляющейся при исследовании сустава</w:t>
      </w:r>
    </w:p>
    <w:p w14:paraId="76CB037F" w14:textId="77777777" w:rsidR="00C232FD" w:rsidRPr="00C232FD" w:rsidRDefault="00C232FD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при помощи тестов и обозначаемой (+):</w:t>
      </w:r>
    </w:p>
    <w:p w14:paraId="655217B2" w14:textId="165169BD" w:rsidR="00C232FD" w:rsidRPr="00C232FD" w:rsidRDefault="00C232FD" w:rsidP="00C232FD">
      <w:pPr>
        <w:pStyle w:val="a3"/>
        <w:numPr>
          <w:ilvl w:val="0"/>
          <w:numId w:val="2"/>
        </w:numPr>
        <w:spacing w:after="0"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1 (+) – суставные поверхности расходятся не более 5 мм;</w:t>
      </w:r>
    </w:p>
    <w:p w14:paraId="1963EB8C" w14:textId="67D01AE7" w:rsidR="00C232FD" w:rsidRPr="00C232FD" w:rsidRDefault="00C232FD" w:rsidP="00C232FD">
      <w:pPr>
        <w:pStyle w:val="a3"/>
        <w:numPr>
          <w:ilvl w:val="0"/>
          <w:numId w:val="2"/>
        </w:numPr>
        <w:spacing w:after="0"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2 (++) – расхождение составляет от 5 до 10 мм;</w:t>
      </w:r>
    </w:p>
    <w:p w14:paraId="29501235" w14:textId="2D296D8A" w:rsidR="00C232FD" w:rsidRDefault="00C232FD" w:rsidP="00C232FD">
      <w:pPr>
        <w:pStyle w:val="a3"/>
        <w:numPr>
          <w:ilvl w:val="0"/>
          <w:numId w:val="2"/>
        </w:numPr>
        <w:spacing w:after="0"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3 (+++) – расхождение превышает 10 мм.</w:t>
      </w:r>
    </w:p>
    <w:p w14:paraId="15CEDBA5" w14:textId="77777777" w:rsidR="00C232FD" w:rsidRDefault="00C232FD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FD74581" w14:textId="2D57A12C" w:rsidR="00C232FD" w:rsidRPr="00C232FD" w:rsidRDefault="00C232FD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Повреждение передней крестообразной связки сопровождается передней</w:t>
      </w:r>
    </w:p>
    <w:p w14:paraId="0092664B" w14:textId="77777777" w:rsidR="00C232FD" w:rsidRPr="00C232FD" w:rsidRDefault="00C232FD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нестабильностью коленного сустава, которая в свою очередь делится на:</w:t>
      </w:r>
    </w:p>
    <w:p w14:paraId="0B6B0B9D" w14:textId="65C71AC7" w:rsidR="00C232FD" w:rsidRPr="00C232FD" w:rsidRDefault="00C232FD" w:rsidP="00C232FD">
      <w:pPr>
        <w:pStyle w:val="a3"/>
        <w:numPr>
          <w:ilvl w:val="0"/>
          <w:numId w:val="2"/>
        </w:numPr>
        <w:spacing w:after="0"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острую – возникшую сразу после травмы;</w:t>
      </w:r>
    </w:p>
    <w:p w14:paraId="0B3B51D4" w14:textId="3B764A2A" w:rsidR="00C232FD" w:rsidRPr="00C232FD" w:rsidRDefault="00C232FD" w:rsidP="00C232FD">
      <w:pPr>
        <w:pStyle w:val="a3"/>
        <w:numPr>
          <w:ilvl w:val="0"/>
          <w:numId w:val="2"/>
        </w:numPr>
        <w:spacing w:after="0"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хроническую – возникающую периодически в отдаленном периоде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FD">
        <w:rPr>
          <w:rFonts w:ascii="Times New Roman" w:hAnsi="Times New Roman" w:cs="Times New Roman"/>
          <w:sz w:val="24"/>
          <w:szCs w:val="24"/>
        </w:rPr>
        <w:t>травмы коленного сустава.</w:t>
      </w:r>
    </w:p>
    <w:p w14:paraId="7DBEDC3C" w14:textId="77777777" w:rsidR="00C232FD" w:rsidRPr="00C232FD" w:rsidRDefault="00C232FD" w:rsidP="00C232F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232FD">
        <w:rPr>
          <w:rFonts w:ascii="Times New Roman" w:hAnsi="Times New Roman" w:cs="Times New Roman"/>
          <w:b/>
          <w:bCs/>
          <w:sz w:val="24"/>
          <w:szCs w:val="24"/>
        </w:rPr>
        <w:t>Показания к оперативному вмешательству:</w:t>
      </w:r>
    </w:p>
    <w:p w14:paraId="1E13E46B" w14:textId="622A41B3" w:rsidR="00C232FD" w:rsidRPr="00C232FD" w:rsidRDefault="00C232FD" w:rsidP="00C232F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повреждения передней крестообразной связки, сопровождающиеся</w:t>
      </w:r>
    </w:p>
    <w:p w14:paraId="7C2EAD6A" w14:textId="77777777" w:rsidR="00C232FD" w:rsidRPr="00C232FD" w:rsidRDefault="00C232FD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передней нестабильностью коленного сустава.</w:t>
      </w:r>
    </w:p>
    <w:p w14:paraId="25BFC5D4" w14:textId="77777777" w:rsidR="00C232FD" w:rsidRPr="00C232FD" w:rsidRDefault="00C232FD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Противопоказания к оперативному вмешательству:</w:t>
      </w:r>
    </w:p>
    <w:p w14:paraId="4915157B" w14:textId="77777777" w:rsidR="00C232FD" w:rsidRPr="00C232FD" w:rsidRDefault="00C232FD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Абсолютные противопоказания:</w:t>
      </w:r>
    </w:p>
    <w:p w14:paraId="48E5E3C1" w14:textId="580273D0" w:rsidR="00C232FD" w:rsidRPr="00C232FD" w:rsidRDefault="00C232FD" w:rsidP="00C232F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тяжелое состояние пациента;</w:t>
      </w:r>
    </w:p>
    <w:p w14:paraId="365F354F" w14:textId="1E58B72E" w:rsidR="00C232FD" w:rsidRPr="00C232FD" w:rsidRDefault="00C232FD" w:rsidP="00C232F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декомпенсация хронических заболеваний;</w:t>
      </w:r>
    </w:p>
    <w:p w14:paraId="7D8CFB80" w14:textId="3DCDE006" w:rsidR="00C232FD" w:rsidRPr="00C232FD" w:rsidRDefault="00C232FD" w:rsidP="00C232F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воспалительные поражения кожи в области вмешательства.</w:t>
      </w:r>
    </w:p>
    <w:p w14:paraId="24995B9B" w14:textId="77777777" w:rsidR="00C232FD" w:rsidRPr="00C232FD" w:rsidRDefault="00C232FD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Относительные противопоказания:</w:t>
      </w:r>
    </w:p>
    <w:p w14:paraId="2A084E23" w14:textId="4029465C" w:rsidR="00C232FD" w:rsidRPr="00C232FD" w:rsidRDefault="00C232FD" w:rsidP="00C232F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хроническая передняя нестабильность коленного сустава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FD">
        <w:rPr>
          <w:rFonts w:ascii="Times New Roman" w:hAnsi="Times New Roman" w:cs="Times New Roman"/>
          <w:sz w:val="24"/>
          <w:szCs w:val="24"/>
        </w:rPr>
        <w:t>выраженными дегенеративными изменениями со стороны хряща</w:t>
      </w:r>
    </w:p>
    <w:p w14:paraId="1BAA5455" w14:textId="77777777" w:rsidR="00C232FD" w:rsidRPr="00C232FD" w:rsidRDefault="00C232FD" w:rsidP="00C232F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lastRenderedPageBreak/>
        <w:t>(остеоартроз коленного сустава 2 степени и выше);</w:t>
      </w:r>
    </w:p>
    <w:p w14:paraId="7071FC85" w14:textId="43A8CE41" w:rsidR="00C232FD" w:rsidRPr="00C232FD" w:rsidRDefault="00C232FD" w:rsidP="00C232F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низкая физическая активность пациента;</w:t>
      </w:r>
    </w:p>
    <w:p w14:paraId="5FF16AA2" w14:textId="631D1CDB" w:rsidR="00C232FD" w:rsidRPr="00C232FD" w:rsidRDefault="00C232FD" w:rsidP="00C232F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выраженная сосудистая патология на повреждѐнной конечности;</w:t>
      </w:r>
    </w:p>
    <w:p w14:paraId="4B94AD7B" w14:textId="103AE580" w:rsidR="00C232FD" w:rsidRPr="00C232FD" w:rsidRDefault="00C232FD" w:rsidP="00C232F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отказ от следования послеоперационному протоколу.</w:t>
      </w:r>
    </w:p>
    <w:p w14:paraId="21D01F5A" w14:textId="77777777" w:rsidR="00C232FD" w:rsidRPr="00C232FD" w:rsidRDefault="00C232FD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Требования к подготовке пациента:</w:t>
      </w:r>
    </w:p>
    <w:p w14:paraId="484F871A" w14:textId="76615777" w:rsidR="00C232FD" w:rsidRPr="00C232FD" w:rsidRDefault="00C232FD" w:rsidP="00C232F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подготовка перед операцией кожных покровов;</w:t>
      </w:r>
    </w:p>
    <w:p w14:paraId="2DFECE42" w14:textId="49F5E18E" w:rsidR="00C232FD" w:rsidRPr="00C232FD" w:rsidRDefault="00C232FD" w:rsidP="00C232F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очистительная клизма накануне вечером и утром в день операции;</w:t>
      </w:r>
    </w:p>
    <w:p w14:paraId="233B7D57" w14:textId="56F89F22" w:rsidR="00C232FD" w:rsidRPr="00C232FD" w:rsidRDefault="00C232FD" w:rsidP="00C232F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препарат для премедикации накануне вечером и утром в день</w:t>
      </w:r>
    </w:p>
    <w:p w14:paraId="3C443165" w14:textId="77777777" w:rsidR="00C232FD" w:rsidRPr="00C232FD" w:rsidRDefault="00C232FD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операции;</w:t>
      </w:r>
    </w:p>
    <w:p w14:paraId="1F27D1C6" w14:textId="29779899" w:rsidR="00C232FD" w:rsidRPr="00C232FD" w:rsidRDefault="00C232FD" w:rsidP="00C232F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антикоагулянты накануне вечером.</w:t>
      </w:r>
    </w:p>
    <w:p w14:paraId="55A769DA" w14:textId="562488B9" w:rsidR="00C232FD" w:rsidRPr="00C232FD" w:rsidRDefault="00C232FD" w:rsidP="00C232F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периоперационная антибиотикопрофилактика за 10-15 минут</w:t>
      </w:r>
    </w:p>
    <w:p w14:paraId="1294B0A2" w14:textId="77777777" w:rsidR="00C232FD" w:rsidRPr="00C232FD" w:rsidRDefault="00C232FD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внутривенно во время наркоза либо за 40-60 минут до операции</w:t>
      </w:r>
    </w:p>
    <w:p w14:paraId="6D48E18F" w14:textId="77777777" w:rsidR="00C232FD" w:rsidRPr="00C232FD" w:rsidRDefault="00C232FD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внутримышечно, с последующими повторными инъекциями по показаниям,</w:t>
      </w:r>
    </w:p>
    <w:p w14:paraId="610D6324" w14:textId="16E21313" w:rsidR="00897DE2" w:rsidRDefault="00C232FD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2FD">
        <w:rPr>
          <w:rFonts w:ascii="Times New Roman" w:hAnsi="Times New Roman" w:cs="Times New Roman"/>
          <w:sz w:val="24"/>
          <w:szCs w:val="24"/>
        </w:rPr>
        <w:t>но не более 24-48 часов.</w:t>
      </w:r>
    </w:p>
    <w:p w14:paraId="7A0277A5" w14:textId="1109D535" w:rsidR="00C232FD" w:rsidRDefault="00C232FD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451670" w14:textId="5572E9F3" w:rsidR="00641766" w:rsidRDefault="00641766" w:rsidP="00C232F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41766">
        <w:rPr>
          <w:rFonts w:ascii="Times New Roman" w:hAnsi="Times New Roman" w:cs="Times New Roman"/>
          <w:b/>
          <w:bCs/>
          <w:sz w:val="24"/>
          <w:szCs w:val="24"/>
        </w:rPr>
        <w:t>Принцип оперативного лечения повреждения ПКС с помощью артроскопии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FFEF21" w14:textId="77777777" w:rsidR="00641766" w:rsidRDefault="00641766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766">
        <w:rPr>
          <w:rFonts w:ascii="Times New Roman" w:hAnsi="Times New Roman" w:cs="Times New Roman"/>
          <w:sz w:val="24"/>
          <w:szCs w:val="24"/>
        </w:rPr>
        <w:t>как правило, вмешательство проводится под артериальным турникетом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B56EC" w14:textId="77777777" w:rsidR="00641766" w:rsidRDefault="00641766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1766">
        <w:rPr>
          <w:rFonts w:ascii="Times New Roman" w:hAnsi="Times New Roman" w:cs="Times New Roman"/>
          <w:sz w:val="24"/>
          <w:szCs w:val="24"/>
        </w:rPr>
        <w:t>ервым этапом выполняется диагностическая артроскопия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766">
        <w:rPr>
          <w:rFonts w:ascii="Times New Roman" w:hAnsi="Times New Roman" w:cs="Times New Roman"/>
          <w:sz w:val="24"/>
          <w:szCs w:val="24"/>
        </w:rPr>
        <w:t>сустава,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766">
        <w:rPr>
          <w:rFonts w:ascii="Times New Roman" w:hAnsi="Times New Roman" w:cs="Times New Roman"/>
          <w:sz w:val="24"/>
          <w:szCs w:val="24"/>
        </w:rPr>
        <w:t xml:space="preserve">устанавливается характер поражения связок, сопутствующие проблемы с менисками, хрящом. </w:t>
      </w:r>
    </w:p>
    <w:p w14:paraId="4313F57E" w14:textId="77777777" w:rsidR="00641766" w:rsidRDefault="00641766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766">
        <w:rPr>
          <w:rFonts w:ascii="Times New Roman" w:hAnsi="Times New Roman" w:cs="Times New Roman"/>
          <w:sz w:val="24"/>
          <w:szCs w:val="24"/>
        </w:rPr>
        <w:t xml:space="preserve">При реконструкции передней крестообразной связки выполняется замещение поврежденной связки аутотрансплантатом. Для этого при помощи кусачек, артрошейвера (расходный материал – лезвие шейвера), артроскопического электрода (расходный материал – электрод) производится вапоризация и удаляются остатки поврежденной связки; </w:t>
      </w:r>
    </w:p>
    <w:p w14:paraId="3580FBD8" w14:textId="77777777" w:rsidR="00641766" w:rsidRDefault="00641766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1766">
        <w:rPr>
          <w:rFonts w:ascii="Times New Roman" w:hAnsi="Times New Roman" w:cs="Times New Roman"/>
          <w:sz w:val="24"/>
          <w:szCs w:val="24"/>
        </w:rPr>
        <w:t xml:space="preserve">ри помощи специального инструмента в области «гусиной лапки» выполняется забор аутотрансплантатов сухожилий подколенных мышц (полусухожильная и нежная), по специальной технике формируется аутотрансплантат ПКС (расходный материал – полиэтиленовая плетеная нить – 2 шт.). Либо соответствующим способом производится забор другого вида аутотрансплантата (из сухожилия прямой мышцы бедра с или без костного блока, из связки надколенника с костными блоками) с формированием из них аутотрансплантата. Либо используется синтетический или аллотрансплантат; </w:t>
      </w:r>
    </w:p>
    <w:p w14:paraId="2E031A8F" w14:textId="77777777" w:rsidR="00641766" w:rsidRDefault="00641766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41766">
        <w:rPr>
          <w:rFonts w:ascii="Times New Roman" w:hAnsi="Times New Roman" w:cs="Times New Roman"/>
          <w:sz w:val="24"/>
          <w:szCs w:val="24"/>
        </w:rPr>
        <w:t xml:space="preserve">алее в соответствие с диаметром аутотрансплантата в бедренной и большеберцовой костях формируются каналы, в которые заводится аутотрансплантат. </w:t>
      </w:r>
      <w:r w:rsidRPr="00641766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каналов выполняется при помощи специальных направителей бедренный и тибиальный таким образом, чтобы повторить геометрию нативной ПКС. </w:t>
      </w:r>
    </w:p>
    <w:p w14:paraId="5B210AB4" w14:textId="77777777" w:rsidR="00641766" w:rsidRDefault="00641766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766">
        <w:rPr>
          <w:rFonts w:ascii="Times New Roman" w:hAnsi="Times New Roman" w:cs="Times New Roman"/>
          <w:sz w:val="24"/>
          <w:szCs w:val="24"/>
        </w:rPr>
        <w:t xml:space="preserve">В латеральном мыщелке бедренной кости формирование канала выполняется по спице диаметром 4 мм (расходный материал), при этом проведение направляющей спицы предпочтительно через антеромедиальный доступ, в большеберцовой кости по спице диаметром 2,4 мм (расходный материал). </w:t>
      </w:r>
    </w:p>
    <w:p w14:paraId="4BC46C7D" w14:textId="4982E029" w:rsidR="00641766" w:rsidRDefault="00641766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1766">
        <w:rPr>
          <w:rFonts w:ascii="Times New Roman" w:hAnsi="Times New Roman" w:cs="Times New Roman"/>
          <w:sz w:val="24"/>
          <w:szCs w:val="24"/>
        </w:rPr>
        <w:t xml:space="preserve">Подготовленный аутотрансплантат через тоннель большеберцовой кости заводится в тоннель бедренной кости. Фиксация на бедре кортикальная при помощи металлического или биологического фиксатора за мыщелок бедра (расходный материал) или иным фиксатором или способом (другие виды экстракортикального, внутриканального фиксатора), в тоннеле большеберцовой кости фиксация выполняется при помощи биокомпозитного винта (расходный материал) или иным фиксатором или способом (другие виды экстракортикального, внутриканального фиксатора). </w:t>
      </w:r>
    </w:p>
    <w:p w14:paraId="3CDE5C30" w14:textId="77777777" w:rsidR="00641766" w:rsidRDefault="00641766" w:rsidP="00C232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147AA34" w14:textId="77777777" w:rsidR="00641766" w:rsidRDefault="00641766" w:rsidP="00C232F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41766">
        <w:rPr>
          <w:rFonts w:ascii="Times New Roman" w:hAnsi="Times New Roman" w:cs="Times New Roman"/>
          <w:b/>
          <w:bCs/>
          <w:sz w:val="24"/>
          <w:szCs w:val="24"/>
        </w:rPr>
        <w:t>Индикаторы эффективности процедуры:</w:t>
      </w:r>
    </w:p>
    <w:p w14:paraId="7B26BF76" w14:textId="040FD233" w:rsidR="00641766" w:rsidRPr="00641766" w:rsidRDefault="00641766" w:rsidP="00641766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1766">
        <w:rPr>
          <w:rFonts w:ascii="Times New Roman" w:hAnsi="Times New Roman" w:cs="Times New Roman"/>
          <w:sz w:val="24"/>
          <w:szCs w:val="24"/>
        </w:rPr>
        <w:t xml:space="preserve">устранение боли; </w:t>
      </w:r>
    </w:p>
    <w:p w14:paraId="3929DBCB" w14:textId="77777777" w:rsidR="00641766" w:rsidRPr="00641766" w:rsidRDefault="00641766" w:rsidP="00641766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1766">
        <w:rPr>
          <w:rFonts w:ascii="Times New Roman" w:hAnsi="Times New Roman" w:cs="Times New Roman"/>
          <w:sz w:val="24"/>
          <w:szCs w:val="24"/>
        </w:rPr>
        <w:t>восстановление двигательной функции коленного сустава:</w:t>
      </w:r>
    </w:p>
    <w:p w14:paraId="14DBC233" w14:textId="4514E6C9" w:rsidR="00641766" w:rsidRPr="00641766" w:rsidRDefault="00641766" w:rsidP="00641766">
      <w:pPr>
        <w:pStyle w:val="a3"/>
        <w:numPr>
          <w:ilvl w:val="3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1766">
        <w:rPr>
          <w:rFonts w:ascii="Times New Roman" w:hAnsi="Times New Roman" w:cs="Times New Roman"/>
          <w:sz w:val="24"/>
          <w:szCs w:val="24"/>
        </w:rPr>
        <w:t xml:space="preserve">индекс Бартела – выше 85 баллов; </w:t>
      </w:r>
    </w:p>
    <w:p w14:paraId="557F686D" w14:textId="1A56B6FC" w:rsidR="00641766" w:rsidRPr="00641766" w:rsidRDefault="00641766" w:rsidP="00641766">
      <w:pPr>
        <w:pStyle w:val="a3"/>
        <w:numPr>
          <w:ilvl w:val="3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1766">
        <w:rPr>
          <w:rFonts w:ascii="Times New Roman" w:hAnsi="Times New Roman" w:cs="Times New Roman"/>
          <w:sz w:val="24"/>
          <w:szCs w:val="24"/>
        </w:rPr>
        <w:t xml:space="preserve">MRC- scale – более 3 баллов; </w:t>
      </w:r>
    </w:p>
    <w:p w14:paraId="16A425C5" w14:textId="2C6BEC30" w:rsidR="00641766" w:rsidRPr="00641766" w:rsidRDefault="00641766" w:rsidP="00641766">
      <w:pPr>
        <w:pStyle w:val="a3"/>
        <w:numPr>
          <w:ilvl w:val="3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1766">
        <w:rPr>
          <w:rFonts w:ascii="Times New Roman" w:hAnsi="Times New Roman" w:cs="Times New Roman"/>
          <w:sz w:val="24"/>
          <w:szCs w:val="24"/>
        </w:rPr>
        <w:t xml:space="preserve">индекс Карновского – 80 баллов; </w:t>
      </w:r>
    </w:p>
    <w:p w14:paraId="51ADDB68" w14:textId="193BB915" w:rsidR="00641766" w:rsidRPr="00641766" w:rsidRDefault="00641766" w:rsidP="00641766">
      <w:pPr>
        <w:pStyle w:val="a3"/>
        <w:numPr>
          <w:ilvl w:val="3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1766">
        <w:rPr>
          <w:rFonts w:ascii="Times New Roman" w:hAnsi="Times New Roman" w:cs="Times New Roman"/>
          <w:sz w:val="24"/>
          <w:szCs w:val="24"/>
        </w:rPr>
        <w:t xml:space="preserve">гониометрия – менее 80% от нормы. </w:t>
      </w:r>
    </w:p>
    <w:p w14:paraId="0D487544" w14:textId="216B932F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36FA43BF" w14:textId="3A05CFC7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0C00D386" w14:textId="16BF6112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46FBBB84" w14:textId="425597D6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68AEC142" w14:textId="1338FCFC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0C4E1AA1" w14:textId="2B60461E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276EA625" w14:textId="5AE8AA96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2AE531D5" w14:textId="35B57D17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0E8CA47D" w14:textId="448F0DAD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3F0C7D84" w14:textId="5D37F85C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473FBF3B" w14:textId="73982428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2EAFF7B0" w14:textId="2FBDD6CE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20E67BB3" w14:textId="452433DB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18E62A62" w14:textId="77777777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10619D4C" w14:textId="77777777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64176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литературы:</w:t>
      </w:r>
      <w:r w:rsidRPr="00641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89551" w14:textId="77777777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641766">
        <w:rPr>
          <w:rFonts w:ascii="Times New Roman" w:hAnsi="Times New Roman" w:cs="Times New Roman"/>
          <w:sz w:val="24"/>
          <w:szCs w:val="24"/>
        </w:rPr>
        <w:t xml:space="preserve">1) Травматология и ортопедия. Корнилова Н.В. – СПб.: Гиппократ, 2001-408 с. </w:t>
      </w:r>
    </w:p>
    <w:p w14:paraId="09AECB4C" w14:textId="77777777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641766">
        <w:rPr>
          <w:rFonts w:ascii="Times New Roman" w:hAnsi="Times New Roman" w:cs="Times New Roman"/>
          <w:sz w:val="24"/>
          <w:szCs w:val="24"/>
        </w:rPr>
        <w:t xml:space="preserve">2) Травматология и ортопедия: Руководства для врачей/под ред. Н.В. Корнилова: в 4 томах.-СПб.: Гиппократ, 2004 – Т.1. </w:t>
      </w:r>
    </w:p>
    <w:p w14:paraId="214B5C2F" w14:textId="77777777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641766">
        <w:rPr>
          <w:rFonts w:ascii="Times New Roman" w:hAnsi="Times New Roman" w:cs="Times New Roman"/>
          <w:sz w:val="24"/>
          <w:szCs w:val="24"/>
        </w:rPr>
        <w:t xml:space="preserve">3) Боли в суставах. Дифференциальная диагностика, Филоненко С.П., Якушин С.С., 2010г. </w:t>
      </w:r>
    </w:p>
    <w:p w14:paraId="4D005938" w14:textId="77777777" w:rsid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641766">
        <w:rPr>
          <w:rFonts w:ascii="Times New Roman" w:hAnsi="Times New Roman" w:cs="Times New Roman"/>
          <w:sz w:val="24"/>
          <w:szCs w:val="24"/>
        </w:rPr>
        <w:t xml:space="preserve">4) Штробель М. Руководство по артроскопической хирургии: в 2томах /Пер с англ. Под ред. А.В.Королева. – М.:ИздательствоПанфилова; БИНОМ. Лаборатория знаний, 2011. </w:t>
      </w:r>
    </w:p>
    <w:p w14:paraId="3485FC99" w14:textId="631C3A95" w:rsidR="00641766" w:rsidRPr="00641766" w:rsidRDefault="00641766" w:rsidP="0064176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641766">
        <w:rPr>
          <w:rFonts w:ascii="Times New Roman" w:hAnsi="Times New Roman" w:cs="Times New Roman"/>
          <w:sz w:val="24"/>
          <w:szCs w:val="24"/>
        </w:rPr>
        <w:t>5) Ортопедия и травматология по Эпли. В 3 частях. Часть 2 | Соломон Луи, Уорик Дэвид</w:t>
      </w:r>
    </w:p>
    <w:sectPr w:rsidR="00641766" w:rsidRPr="0064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7942"/>
    <w:multiLevelType w:val="hybridMultilevel"/>
    <w:tmpl w:val="340C23DA"/>
    <w:lvl w:ilvl="0" w:tplc="C932416A">
      <w:numFmt w:val="bullet"/>
      <w:lvlText w:val="·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8B4FF6"/>
    <w:multiLevelType w:val="hybridMultilevel"/>
    <w:tmpl w:val="7C544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5976D9"/>
    <w:multiLevelType w:val="hybridMultilevel"/>
    <w:tmpl w:val="792C0782"/>
    <w:lvl w:ilvl="0" w:tplc="C932416A">
      <w:numFmt w:val="bullet"/>
      <w:lvlText w:val="·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7A2A24"/>
    <w:multiLevelType w:val="hybridMultilevel"/>
    <w:tmpl w:val="ACB2BE7A"/>
    <w:lvl w:ilvl="0" w:tplc="C932416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1FF3"/>
    <w:multiLevelType w:val="hybridMultilevel"/>
    <w:tmpl w:val="DCC4F26A"/>
    <w:lvl w:ilvl="0" w:tplc="C932416A">
      <w:numFmt w:val="bullet"/>
      <w:lvlText w:val="·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F05C40"/>
    <w:multiLevelType w:val="hybridMultilevel"/>
    <w:tmpl w:val="8FD20A42"/>
    <w:lvl w:ilvl="0" w:tplc="C932416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3664D"/>
    <w:multiLevelType w:val="hybridMultilevel"/>
    <w:tmpl w:val="BCEC207C"/>
    <w:lvl w:ilvl="0" w:tplc="C932416A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64364821"/>
    <w:multiLevelType w:val="hybridMultilevel"/>
    <w:tmpl w:val="D040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A7D69"/>
    <w:multiLevelType w:val="hybridMultilevel"/>
    <w:tmpl w:val="00F4CC3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756908E1"/>
    <w:multiLevelType w:val="hybridMultilevel"/>
    <w:tmpl w:val="93DAB0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76922315"/>
    <w:multiLevelType w:val="hybridMultilevel"/>
    <w:tmpl w:val="3C98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51F82"/>
    <w:multiLevelType w:val="hybridMultilevel"/>
    <w:tmpl w:val="230846B6"/>
    <w:lvl w:ilvl="0" w:tplc="C932416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D9"/>
    <w:rsid w:val="00505576"/>
    <w:rsid w:val="00641766"/>
    <w:rsid w:val="00776CB1"/>
    <w:rsid w:val="00A01BD9"/>
    <w:rsid w:val="00B360F1"/>
    <w:rsid w:val="00C10BF8"/>
    <w:rsid w:val="00C2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0656"/>
  <w15:chartTrackingRefBased/>
  <w15:docId w15:val="{5431DD18-525C-4F4C-9E8D-4D4AC9AF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32F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Елисеева</dc:creator>
  <cp:keywords/>
  <dc:description/>
  <cp:lastModifiedBy>Елизавета Елисеева</cp:lastModifiedBy>
  <cp:revision>5</cp:revision>
  <dcterms:created xsi:type="dcterms:W3CDTF">2022-09-11T05:38:00Z</dcterms:created>
  <dcterms:modified xsi:type="dcterms:W3CDTF">2022-09-11T06:06:00Z</dcterms:modified>
</cp:coreProperties>
</file>