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2A" w:rsidRDefault="001C6C2A" w:rsidP="001C6C2A">
      <w:pPr>
        <w:jc w:val="center"/>
      </w:pPr>
      <w:bookmarkStart w:id="0" w:name="_GoBack"/>
      <w:bookmarkEnd w:id="0"/>
      <w: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</w:t>
      </w:r>
    </w:p>
    <w:p w:rsidR="001C6C2A" w:rsidRDefault="001C6C2A" w:rsidP="001C6C2A">
      <w:pPr>
        <w:jc w:val="center"/>
      </w:pPr>
      <w:r>
        <w:t>имени профессора В. Ф. Войно-Ясенецкого»</w:t>
      </w:r>
    </w:p>
    <w:p w:rsidR="001C6C2A" w:rsidRDefault="001C6C2A" w:rsidP="001C6C2A">
      <w:pPr>
        <w:jc w:val="center"/>
      </w:pPr>
      <w:r>
        <w:t>Министерства здравоохранения Российской Федерации</w:t>
      </w: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  <w:r>
        <w:t>Кафедра детских болезней с курсом ПО</w:t>
      </w:r>
    </w:p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>
      <w:pPr>
        <w:jc w:val="center"/>
        <w:rPr>
          <w:bCs/>
          <w:caps/>
          <w:sz w:val="32"/>
          <w:szCs w:val="32"/>
        </w:rPr>
      </w:pPr>
      <w:r>
        <w:rPr>
          <w:b/>
          <w:bCs/>
          <w:sz w:val="40"/>
          <w:szCs w:val="40"/>
        </w:rPr>
        <w:t>Госпитальная педиатрия</w:t>
      </w:r>
    </w:p>
    <w:p w:rsidR="001C6C2A" w:rsidRDefault="001C6C2A" w:rsidP="001C6C2A">
      <w:pPr>
        <w:jc w:val="center"/>
        <w:rPr>
          <w:bCs/>
          <w:caps/>
          <w:sz w:val="32"/>
          <w:szCs w:val="32"/>
        </w:rPr>
      </w:pPr>
    </w:p>
    <w:p w:rsidR="001C6C2A" w:rsidRDefault="001C6C2A" w:rsidP="001C6C2A">
      <w:pPr>
        <w:jc w:val="center"/>
        <w:rPr>
          <w:bCs/>
          <w:caps/>
          <w:sz w:val="32"/>
          <w:szCs w:val="32"/>
        </w:rPr>
      </w:pPr>
    </w:p>
    <w:p w:rsidR="001C6C2A" w:rsidRDefault="001C6C2A" w:rsidP="001C6C2A">
      <w:pPr>
        <w:jc w:val="center"/>
        <w:rPr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1C6C2A" w:rsidRDefault="001C6C2A" w:rsidP="001C6C2A">
      <w:pPr>
        <w:jc w:val="center"/>
        <w:rPr>
          <w:sz w:val="32"/>
          <w:szCs w:val="32"/>
        </w:rPr>
      </w:pPr>
    </w:p>
    <w:p w:rsidR="001C6C2A" w:rsidRDefault="001C6C2A" w:rsidP="001C6C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«Системные васкулиты.</w:t>
      </w:r>
    </w:p>
    <w:p w:rsidR="001C6C2A" w:rsidRDefault="001C6C2A" w:rsidP="001C6C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Системные поражения соединительной ткани»</w:t>
      </w:r>
    </w:p>
    <w:p w:rsidR="001C6C2A" w:rsidRDefault="001C6C2A" w:rsidP="001C6C2A">
      <w:pPr>
        <w:rPr>
          <w:b/>
          <w:sz w:val="36"/>
          <w:szCs w:val="36"/>
        </w:rPr>
      </w:pPr>
    </w:p>
    <w:p w:rsidR="001C6C2A" w:rsidRDefault="001C6C2A" w:rsidP="001C6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6 курса,  </w:t>
      </w:r>
    </w:p>
    <w:p w:rsidR="001C6C2A" w:rsidRDefault="001C6C2A" w:rsidP="001C6C2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1C6C2A" w:rsidRDefault="001C6C2A" w:rsidP="001C6C2A">
      <w:pPr>
        <w:rPr>
          <w:sz w:val="28"/>
          <w:szCs w:val="28"/>
        </w:rPr>
      </w:pPr>
    </w:p>
    <w:p w:rsidR="001C6C2A" w:rsidRDefault="001C6C2A" w:rsidP="001C6C2A">
      <w:pPr>
        <w:rPr>
          <w:sz w:val="28"/>
          <w:szCs w:val="28"/>
        </w:rPr>
      </w:pPr>
    </w:p>
    <w:p w:rsidR="001C6C2A" w:rsidRDefault="001C6C2A" w:rsidP="001C6C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1C6C2A" w:rsidRDefault="001C6C2A" w:rsidP="001C6C2A">
      <w:pPr>
        <w:ind w:left="1416"/>
        <w:rPr>
          <w:bCs/>
          <w:sz w:val="28"/>
          <w:szCs w:val="28"/>
        </w:rPr>
      </w:pPr>
    </w:p>
    <w:p w:rsidR="001C6C2A" w:rsidRDefault="001C6C2A" w:rsidP="001C6C2A">
      <w:pPr>
        <w:rPr>
          <w:b/>
          <w:bCs/>
          <w:sz w:val="28"/>
          <w:szCs w:val="28"/>
        </w:rPr>
      </w:pPr>
      <w:r>
        <w:rPr>
          <w:rStyle w:val="1"/>
          <w:bCs/>
          <w:sz w:val="28"/>
          <w:szCs w:val="28"/>
        </w:rPr>
        <w:t>Группа</w:t>
      </w:r>
      <w:r>
        <w:rPr>
          <w:rStyle w:val="1"/>
          <w:b/>
          <w:bCs/>
          <w:sz w:val="28"/>
          <w:szCs w:val="28"/>
        </w:rPr>
        <w:t xml:space="preserve"> ____________________________________________________________</w:t>
      </w:r>
    </w:p>
    <w:p w:rsidR="001C6C2A" w:rsidRDefault="001C6C2A" w:rsidP="001C6C2A">
      <w:pPr>
        <w:ind w:left="1416"/>
        <w:rPr>
          <w:b/>
          <w:bCs/>
          <w:sz w:val="28"/>
          <w:szCs w:val="28"/>
        </w:rPr>
      </w:pPr>
    </w:p>
    <w:p w:rsidR="001C6C2A" w:rsidRDefault="001C6C2A" w:rsidP="001C6C2A">
      <w:pPr>
        <w:ind w:left="1416"/>
        <w:rPr>
          <w:b/>
          <w:bCs/>
        </w:rPr>
      </w:pPr>
    </w:p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/>
    <w:p w:rsidR="001C6C2A" w:rsidRDefault="001C6C2A" w:rsidP="001C6C2A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1C6C2A" w:rsidRDefault="001C6C2A" w:rsidP="001C6C2A">
      <w:pPr>
        <w:jc w:val="center"/>
        <w:rPr>
          <w:sz w:val="28"/>
          <w:szCs w:val="28"/>
        </w:rPr>
      </w:pPr>
    </w:p>
    <w:p w:rsidR="001C6C2A" w:rsidRDefault="001C6C2A" w:rsidP="001C6C2A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Рабочая тетрадь составлена в соответствии с рабочей программой дисциплины «Госпитальная педиатрия» для специальности 31.05.02 Педиатрия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</w:t>
      </w:r>
    </w:p>
    <w:p w:rsidR="001C6C2A" w:rsidRDefault="001C6C2A" w:rsidP="001C6C2A">
      <w:pPr>
        <w:jc w:val="both"/>
        <w:rPr>
          <w:color w:val="000000"/>
        </w:rPr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jc w:val="center"/>
      </w:pPr>
    </w:p>
    <w:p w:rsidR="001C6C2A" w:rsidRDefault="001C6C2A" w:rsidP="001C6C2A">
      <w:pPr>
        <w:pStyle w:val="a4"/>
        <w:widowControl/>
        <w:spacing w:after="0"/>
        <w:jc w:val="center"/>
        <w:rPr>
          <w:b/>
          <w:bCs/>
          <w:color w:val="363636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lastRenderedPageBreak/>
        <w:t>Тема № 27:</w:t>
      </w:r>
      <w:r>
        <w:rPr>
          <w:rStyle w:val="1"/>
          <w:b/>
          <w:bCs/>
          <w:color w:val="363636"/>
          <w:sz w:val="28"/>
          <w:szCs w:val="28"/>
        </w:rPr>
        <w:t xml:space="preserve"> Системные васкулиты. Системные поражения соединительной ткани.</w:t>
      </w:r>
    </w:p>
    <w:p w:rsidR="001C6C2A" w:rsidRDefault="001C6C2A" w:rsidP="001C6C2A">
      <w:pPr>
        <w:pStyle w:val="a4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1C6C2A" w:rsidRDefault="001C6C2A" w:rsidP="001C6C2A">
      <w:pPr>
        <w:pStyle w:val="a4"/>
        <w:widowControl/>
        <w:spacing w:after="0"/>
        <w:ind w:firstLine="709"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 xml:space="preserve"> Цель занятия: Изучить этиологию, патогенез развития, классификацию, общую семиотику, алгоритм диагностики, принципы лечения системных васкулитов и системных поражений соединительной ткани  у детей.</w:t>
      </w:r>
    </w:p>
    <w:p w:rsidR="001C6C2A" w:rsidRDefault="001C6C2A" w:rsidP="001C6C2A">
      <w:pPr>
        <w:pStyle w:val="a4"/>
        <w:widowControl/>
        <w:spacing w:after="0"/>
        <w:jc w:val="both"/>
        <w:rPr>
          <w:color w:val="402000"/>
          <w:sz w:val="28"/>
          <w:szCs w:val="28"/>
        </w:rPr>
      </w:pPr>
    </w:p>
    <w:p w:rsidR="001C6C2A" w:rsidRDefault="001C6C2A" w:rsidP="001C6C2A">
      <w:pPr>
        <w:pStyle w:val="a4"/>
        <w:widowControl/>
        <w:spacing w:after="0"/>
        <w:rPr>
          <w:rStyle w:val="1"/>
          <w:bCs/>
          <w:color w:val="402000"/>
          <w:sz w:val="28"/>
          <w:szCs w:val="28"/>
        </w:rPr>
      </w:pPr>
      <w:r>
        <w:rPr>
          <w:rStyle w:val="1"/>
          <w:color w:val="402000"/>
          <w:sz w:val="28"/>
          <w:szCs w:val="28"/>
          <w:lang w:val="en-US"/>
        </w:rPr>
        <w:t>I</w:t>
      </w:r>
      <w:r>
        <w:rPr>
          <w:rStyle w:val="1"/>
          <w:color w:val="402000"/>
          <w:sz w:val="28"/>
          <w:szCs w:val="28"/>
        </w:rPr>
        <w:t>. Вопросы для самоподготовки:</w:t>
      </w:r>
    </w:p>
    <w:p w:rsidR="001C6C2A" w:rsidRDefault="001C6C2A" w:rsidP="001C6C2A">
      <w:pPr>
        <w:pStyle w:val="a4"/>
        <w:widowControl/>
        <w:spacing w:after="0"/>
        <w:rPr>
          <w:rStyle w:val="1"/>
          <w:color w:val="402000"/>
          <w:sz w:val="28"/>
          <w:szCs w:val="28"/>
        </w:rPr>
      </w:pPr>
      <w:r>
        <w:rPr>
          <w:rStyle w:val="1"/>
          <w:bCs/>
          <w:color w:val="402000"/>
          <w:sz w:val="28"/>
          <w:szCs w:val="28"/>
        </w:rPr>
        <w:t>1. Дать определение системным васкулитам -___________________________________________________________________</w:t>
      </w:r>
      <w:r>
        <w:rPr>
          <w:rStyle w:val="1"/>
          <w:b/>
          <w:bCs/>
          <w:color w:val="402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C2A" w:rsidRDefault="001C6C2A" w:rsidP="001C6C2A">
      <w:pPr>
        <w:pStyle w:val="a4"/>
        <w:widowControl/>
        <w:spacing w:after="0"/>
        <w:rPr>
          <w:rStyle w:val="1"/>
          <w:color w:val="402000"/>
          <w:sz w:val="28"/>
          <w:szCs w:val="28"/>
        </w:rPr>
      </w:pPr>
      <w:r>
        <w:rPr>
          <w:rStyle w:val="1"/>
          <w:color w:val="402000"/>
          <w:sz w:val="28"/>
          <w:szCs w:val="28"/>
        </w:rPr>
        <w:t xml:space="preserve">2.  Дать определение системным заболеваниям соединительной ткани </w:t>
      </w:r>
      <w:r>
        <w:rPr>
          <w:rStyle w:val="1"/>
          <w:rFonts w:ascii="Tahoma" w:hAnsi="Tahoma"/>
          <w:b/>
          <w:bCs/>
          <w:color w:val="402000"/>
          <w:sz w:val="28"/>
          <w:szCs w:val="28"/>
        </w:rPr>
        <w:t>-___________________________________________________________________________________________________________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1C6C2A" w:rsidRDefault="001C6C2A" w:rsidP="001C6C2A">
      <w:pPr>
        <w:pStyle w:val="a4"/>
        <w:widowControl/>
        <w:numPr>
          <w:ilvl w:val="0"/>
          <w:numId w:val="3"/>
        </w:numPr>
        <w:spacing w:before="113" w:after="113"/>
        <w:rPr>
          <w:sz w:val="28"/>
          <w:szCs w:val="28"/>
        </w:rPr>
      </w:pPr>
      <w:r>
        <w:rPr>
          <w:rStyle w:val="1"/>
          <w:color w:val="402000"/>
          <w:sz w:val="28"/>
          <w:szCs w:val="28"/>
        </w:rPr>
        <w:t>Критерии Американской коллегии ревматологов для диагностики системной красной волчанки (1997 г.)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C6C2A" w:rsidTr="00000E3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</w:tr>
    </w:tbl>
    <w:p w:rsidR="001C6C2A" w:rsidRDefault="001C6C2A" w:rsidP="001C6C2A">
      <w:pPr>
        <w:pStyle w:val="a4"/>
        <w:widowControl/>
        <w:spacing w:after="0"/>
      </w:pPr>
    </w:p>
    <w:p w:rsidR="001C6C2A" w:rsidRDefault="001C6C2A" w:rsidP="001C6C2A">
      <w:pPr>
        <w:pStyle w:val="a4"/>
        <w:widowControl/>
        <w:spacing w:after="0"/>
        <w:rPr>
          <w:sz w:val="28"/>
          <w:szCs w:val="28"/>
        </w:rPr>
      </w:pPr>
      <w:r>
        <w:rPr>
          <w:rStyle w:val="1"/>
          <w:color w:val="402000"/>
          <w:sz w:val="28"/>
          <w:szCs w:val="28"/>
        </w:rPr>
        <w:lastRenderedPageBreak/>
        <w:t>4. Критерии диагностики ювенильного дерматомиозита (</w:t>
      </w:r>
      <w:r>
        <w:rPr>
          <w:rStyle w:val="1"/>
          <w:color w:val="402000"/>
          <w:sz w:val="28"/>
          <w:szCs w:val="28"/>
          <w:lang w:val="en-US"/>
        </w:rPr>
        <w:t>Tanimoto</w:t>
      </w:r>
      <w:r w:rsidRPr="001C6C2A">
        <w:rPr>
          <w:rStyle w:val="1"/>
          <w:color w:val="402000"/>
          <w:sz w:val="28"/>
          <w:szCs w:val="28"/>
        </w:rPr>
        <w:t>, 1995)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C6C2A" w:rsidTr="00000E3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Кожные критерии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</w:pPr>
            <w:r>
              <w:rPr>
                <w:sz w:val="28"/>
                <w:szCs w:val="28"/>
              </w:rPr>
              <w:t>Признаки полимиозита</w:t>
            </w: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C6C2A" w:rsidRDefault="001C6C2A" w:rsidP="00000E39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C6C2A" w:rsidRDefault="001C6C2A" w:rsidP="00000E39">
            <w:pPr>
              <w:pStyle w:val="a6"/>
              <w:spacing w:line="360" w:lineRule="auto"/>
            </w:pPr>
            <w:r>
              <w:rPr>
                <w:sz w:val="28"/>
                <w:szCs w:val="28"/>
              </w:rPr>
              <w:t>8.</w:t>
            </w:r>
          </w:p>
        </w:tc>
      </w:tr>
    </w:tbl>
    <w:p w:rsidR="001C6C2A" w:rsidRDefault="001C6C2A" w:rsidP="001C6C2A">
      <w:pPr>
        <w:pStyle w:val="a4"/>
        <w:widowControl/>
        <w:spacing w:after="0"/>
      </w:pPr>
    </w:p>
    <w:p w:rsidR="001C6C2A" w:rsidRDefault="001C6C2A" w:rsidP="001C6C2A">
      <w:pPr>
        <w:pStyle w:val="a4"/>
        <w:widowControl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Критерии диагностики ювенильной системной склеродермии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C6C2A" w:rsidTr="00000E3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</w:tbl>
    <w:p w:rsidR="001C6C2A" w:rsidRDefault="001C6C2A" w:rsidP="001C6C2A">
      <w:pPr>
        <w:pStyle w:val="a4"/>
        <w:widowControl/>
        <w:spacing w:after="0"/>
      </w:pPr>
    </w:p>
    <w:p w:rsidR="001C6C2A" w:rsidRDefault="001C6C2A" w:rsidP="001C6C2A">
      <w:pPr>
        <w:pStyle w:val="a4"/>
        <w:widowControl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Критерии диагностики узелкового полиартериита у детей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C6C2A" w:rsidTr="00000E3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before="113" w:after="57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before="113" w:after="57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before="113" w:after="57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before="113" w:after="57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13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before="113" w:after="57"/>
              <w:rPr>
                <w:sz w:val="28"/>
                <w:szCs w:val="28"/>
              </w:rPr>
            </w:pPr>
          </w:p>
        </w:tc>
      </w:tr>
    </w:tbl>
    <w:p w:rsidR="001C6C2A" w:rsidRDefault="001C6C2A" w:rsidP="001C6C2A">
      <w:pPr>
        <w:pStyle w:val="a4"/>
        <w:widowControl/>
        <w:spacing w:after="0"/>
      </w:pPr>
    </w:p>
    <w:p w:rsidR="001C6C2A" w:rsidRDefault="001C6C2A" w:rsidP="001C6C2A">
      <w:pPr>
        <w:pStyle w:val="a4"/>
        <w:widowControl/>
        <w:numPr>
          <w:ilvl w:val="0"/>
          <w:numId w:val="4"/>
        </w:numPr>
        <w:spacing w:after="113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>Критерии диагностики геморрагического васкулита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C6C2A" w:rsidTr="00000E3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7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7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7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spacing w:after="17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000E39">
            <w:pPr>
              <w:pStyle w:val="a6"/>
              <w:rPr>
                <w:sz w:val="28"/>
                <w:szCs w:val="28"/>
              </w:rPr>
            </w:pPr>
          </w:p>
        </w:tc>
      </w:tr>
    </w:tbl>
    <w:p w:rsidR="001C6C2A" w:rsidRDefault="001C6C2A" w:rsidP="001C6C2A">
      <w:pPr>
        <w:pStyle w:val="a4"/>
        <w:widowControl/>
        <w:spacing w:after="0"/>
      </w:pPr>
    </w:p>
    <w:p w:rsidR="001C6C2A" w:rsidRDefault="001C6C2A" w:rsidP="001C6C2A">
      <w:pPr>
        <w:pStyle w:val="a4"/>
        <w:widowControl/>
        <w:numPr>
          <w:ilvl w:val="0"/>
          <w:numId w:val="5"/>
        </w:numPr>
        <w:spacing w:after="113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План обследования пациента с подозрением на системное поражение соединительной ткани или системный васкулит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C6C2A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</w:tr>
    </w:tbl>
    <w:p w:rsidR="001C6C2A" w:rsidRDefault="001C6C2A" w:rsidP="001C6C2A">
      <w:pPr>
        <w:pStyle w:val="a4"/>
        <w:widowControl/>
        <w:spacing w:after="0"/>
      </w:pPr>
    </w:p>
    <w:p w:rsidR="001C6C2A" w:rsidRDefault="001C6C2A" w:rsidP="001C6C2A">
      <w:pPr>
        <w:pStyle w:val="a4"/>
        <w:widowControl/>
        <w:numPr>
          <w:ilvl w:val="0"/>
          <w:numId w:val="7"/>
        </w:numPr>
        <w:spacing w:after="113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Принципы лечения: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C6C2A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1C6C2A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C2A" w:rsidRDefault="001C6C2A" w:rsidP="001C6C2A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</w:tbl>
    <w:p w:rsidR="001C6C2A" w:rsidRDefault="001C6C2A" w:rsidP="001C6C2A">
      <w:pPr>
        <w:pStyle w:val="a4"/>
        <w:widowControl/>
        <w:spacing w:after="0"/>
      </w:pPr>
    </w:p>
    <w:p w:rsidR="001C6C2A" w:rsidRDefault="001C6C2A" w:rsidP="001C6C2A">
      <w:pPr>
        <w:pStyle w:val="a4"/>
        <w:widowControl/>
        <w:numPr>
          <w:ilvl w:val="0"/>
          <w:numId w:val="9"/>
        </w:numPr>
        <w:spacing w:after="0"/>
        <w:rPr>
          <w:rFonts w:cs="Times New Roman"/>
          <w:b/>
          <w:bCs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Укажите один правильный ответ: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РАЗВИТИЕ АЛОПЕЦИИ НАБЛЮДАЕТСЯ ПРИ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системной красной волчанке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острой ревматической лихорадке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ювенильном идиопатическом артрите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ювенильном дерматомиозите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РАЗВИТИЕ ЛЕЙКОПЕНИИ И ТРОМБОПЕНИИ ХАРАКТЕРНО ДЛЯ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системной красной волчанки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острой ревматической лихорадки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системной склеродермии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ювенильного идиопатического артрита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ФОТОСЕНСИБИЛИЗАЦИЯ, ФИКСИРОВАННАЯ ЭРИТЕМА НА СКУЛОВОЙ ОБЛАСТИ, СЕРОЗИТ, НЕФРИТ ОТНОСЯТСЯ К ДИАГНОСТИЧЕСКИМ КРИТЕРИЯМ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системной склеродермии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системной красной волчанки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ювенильного идиопатического артрита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острой ревматической лихорадки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 СИММЕТРИЧНОЕ РАСПОЛОЖЕНИЕ ГЕМОРРАГИЧЕСКИХ ВЫСЫПАНИЙ ОТМЕЧАЕТСЯ ПРИ БОЛЕЗНИ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Шенлейн-Геноха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Рендю-Ослера-Вебера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фон Виллебрандта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Вискотта-Олдрича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ОТСУТСТВИЕ ПУЛЬСА НА ОДНОЙ РУКЕ ХАРАКТЕРНО ДЛЯ БОЛЕЗНИ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Вегенера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Хашимото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Такаясу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Кавасаки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 ХАРАКТЕРНЫМ СИМПТОМОМ ДЛЯ ДЕРМАТОМИОЗИТА ЯВЛЯЕТСЯ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мышечная слабость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геморрагическая сыпь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деструктивная артропатия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асимметрический полирадикулоневрит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 К ЛАБОРАТОРНЫМ ПОКАЗАТЕЛЯМ СИСТЕМНОЙ КРАСНОЙ ВОЛЧАНКИ ОТНОСЯТ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ревматоидный фактор и сиаловые кислоты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АНФ и АТ к двуспиральной ДНК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повышение титров АСЛО и АСГ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положительная реакция Райта и Хеддельсона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8. ПРИ ГЕМОРРАГИЧЕСКОМ ВАСКУЛИТЕ ПОРАЖАЮТСЯ ПРЕИМУЩЕСТВЕННО КОЖА 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А) суставы, легкие, кишечник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суставы, почки, кишечник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сердце, почки, кишечник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легкие, ЦНС, кишечник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Правильный ответ  А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9. ЛЕЧЕНИЕ НЕФРИТА ПРИ ГЕМОРРАГИЧЕСКОМ ВАСКУЛИТЕ ВКЛЮЧАЕТ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преднизолон и циклофосфан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аспирин и преднизолон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сульфосалазин и аспирин</w:t>
      </w:r>
    </w:p>
    <w:p w:rsidR="001C6C2A" w:rsidRDefault="001C6C2A" w:rsidP="001C6C2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преднизолон и фурагин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 НАИБОЛЕЕ ЭФФЕКТИВНЫМИ ДЛЯ ЛЕЧЕНИЯ ДЕРМАТОМИОЗИТА ЯВЛЯЮТСЯ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спазмолитики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нестероидные противовоспалительные препараты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антигистаминные препараты</w:t>
      </w:r>
    </w:p>
    <w:p w:rsidR="001C6C2A" w:rsidRDefault="001C6C2A" w:rsidP="001C6C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системные глюкокортикостероиды</w:t>
      </w:r>
    </w:p>
    <w:p w:rsidR="001C6C2A" w:rsidRDefault="001C6C2A" w:rsidP="001C6C2A">
      <w:pPr>
        <w:jc w:val="both"/>
        <w:rPr>
          <w:rFonts w:cs="Times New Roman"/>
          <w:sz w:val="28"/>
          <w:szCs w:val="28"/>
        </w:rPr>
      </w:pPr>
    </w:p>
    <w:p w:rsidR="001C6C2A" w:rsidRDefault="001C6C2A" w:rsidP="001C6C2A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11. Решите ситуационную задачу</w:t>
      </w:r>
    </w:p>
    <w:p w:rsidR="001C6C2A" w:rsidRDefault="001C6C2A" w:rsidP="001C6C2A">
      <w:pPr>
        <w:widowControl/>
        <w:ind w:firstLine="691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 девочки 4,5 лет через неделю после  перенѐсенной ОРВИ, по поводу которой амбулаторно получала противовирусную и симптоматическую терапию, появились боли в животе, однократная рвота. Осматривался детским хирургом, острая хирургическая патология исключена. В дальнейшем появилась отѐчность стоп, на коже голеней папулѐзная геморрагическая сыпь.  При поступлении в стационар: состояние ребѐнка тяжелое. Вялый, лежит в вынужденной позе с поджатыми к животу коленями. Температура 36,6 °С. На коже нижних конечностей, ягодицах симметричная, папулѐзная, геморрагическая сыпь, местами сливного характера. Сыпь безболезненная, при пальпации не исчезает. Отмечается отѐчность в области голеностопных суставов, болезненность при пальпации и движении, над ними геморрагическая сливная сыпь. В лѐгких везикулярное дыхание. Тоны сердца ритмичные, ясные. ЧСС - 90 в минуту. АД 90/40 мм рт. ст. Живот при пальпации мягкий, болезненный по ходу кишечника. Симптомы раздражения брюшины отрицательные. Печень, селезѐнка не пальпируются. Стул скудный, небольшими порциями, кашицеобразный. Мочится хорошо, моча светлая. Общий анализ крови: гемоглобин – 130 г/л, эритроциты – 4,5×1012/л, тромбоциты – 435×109 /л, лейкоциты – 10,5×109 /л, сегментоядерные нейтрофилы – 58 %, эозинофилы - 2%, лимфоциты -33%, моноциты – 7 %, СОЭ - 25 мм/час. Биохимический анализ крови: общий белок – 71 г/л, глюкоза – 5,0 ммоль/л, мочевина – 3,7ммоль/л, креатинин – 0,7мг%, билирубин общий – 10,2 мкмоль/л, АСТ – 25 Ед/л, АЛТ – 20 Ед/л, С-реактивный белок – 40 мг/л, фибриноген – 800 мг%. Общий анализ мочи: цвет – жѐлтый, относительная плотность – 1012, белок отсутствует, эпителий – 0-1 в поле зрения, лейкоциты – 0-1 в поле зрения, эритроциты сплошь, цилиндры отсутствуют.</w:t>
      </w:r>
    </w:p>
    <w:p w:rsidR="001C6C2A" w:rsidRDefault="001C6C2A" w:rsidP="001C6C2A">
      <w:pPr>
        <w:widowControl/>
        <w:numPr>
          <w:ilvl w:val="2"/>
          <w:numId w:val="10"/>
        </w:numPr>
        <w:ind w:left="0" w:firstLine="691"/>
        <w:jc w:val="both"/>
        <w:rPr>
          <w:color w:val="363636"/>
          <w:sz w:val="28"/>
          <w:szCs w:val="28"/>
        </w:rPr>
      </w:pPr>
      <w:r>
        <w:rPr>
          <w:color w:val="000000"/>
          <w:sz w:val="28"/>
          <w:szCs w:val="28"/>
        </w:rPr>
        <w:t>Предположите наиболее вероятный диагноз.</w:t>
      </w:r>
    </w:p>
    <w:p w:rsidR="001C6C2A" w:rsidRDefault="001C6C2A" w:rsidP="001C6C2A">
      <w:pPr>
        <w:widowControl/>
        <w:numPr>
          <w:ilvl w:val="2"/>
          <w:numId w:val="10"/>
        </w:numPr>
        <w:ind w:left="0" w:firstLine="69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lastRenderedPageBreak/>
        <w:t>Обоснуйте поставленный Вами диагноз.</w:t>
      </w:r>
    </w:p>
    <w:p w:rsidR="001C6C2A" w:rsidRDefault="001C6C2A" w:rsidP="001C6C2A">
      <w:pPr>
        <w:widowControl/>
        <w:numPr>
          <w:ilvl w:val="2"/>
          <w:numId w:val="10"/>
        </w:numPr>
        <w:ind w:left="0" w:firstLine="69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Составьте план обследования пациента и представьте ожидаемые результаты проводимых обследований.</w:t>
      </w:r>
    </w:p>
    <w:p w:rsidR="001C6C2A" w:rsidRDefault="001C6C2A" w:rsidP="001C6C2A">
      <w:pPr>
        <w:widowControl/>
        <w:numPr>
          <w:ilvl w:val="2"/>
          <w:numId w:val="10"/>
        </w:numPr>
        <w:ind w:left="0" w:firstLine="69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С какими заболеваниями необходимо проводить дифференциальный диагноз?</w:t>
      </w:r>
    </w:p>
    <w:p w:rsidR="001C6C2A" w:rsidRDefault="001C6C2A" w:rsidP="001C6C2A">
      <w:pPr>
        <w:widowControl/>
        <w:numPr>
          <w:ilvl w:val="2"/>
          <w:numId w:val="10"/>
        </w:numPr>
        <w:ind w:left="0" w:firstLine="691"/>
        <w:jc w:val="both"/>
        <w:rPr>
          <w:rFonts w:cs="Times New Roman"/>
        </w:rPr>
      </w:pPr>
      <w:r>
        <w:rPr>
          <w:color w:val="363636"/>
          <w:sz w:val="28"/>
          <w:szCs w:val="28"/>
        </w:rPr>
        <w:t>Назовите возможные осложнения данного заболевания;</w:t>
      </w:r>
    </w:p>
    <w:p w:rsidR="001C6C2A" w:rsidRDefault="001C6C2A" w:rsidP="001C6C2A">
      <w:pPr>
        <w:widowControl/>
        <w:ind w:firstLine="691"/>
        <w:jc w:val="both"/>
        <w:rPr>
          <w:rFonts w:cs="Times New Roman"/>
        </w:rPr>
      </w:pPr>
    </w:p>
    <w:p w:rsidR="001C6C2A" w:rsidRDefault="001C6C2A" w:rsidP="001C6C2A">
      <w:pPr>
        <w:widowControl/>
        <w:ind w:firstLine="691"/>
        <w:jc w:val="both"/>
        <w:rPr>
          <w:color w:val="363636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12. Темы УИРС:</w:t>
      </w:r>
    </w:p>
    <w:p w:rsidR="001C6C2A" w:rsidRDefault="001C6C2A" w:rsidP="001C6C2A">
      <w:pPr>
        <w:pStyle w:val="a4"/>
        <w:widowControl/>
        <w:spacing w:after="0"/>
        <w:ind w:firstLine="75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1.     Алгоритм диагностики и лечения аортоартериита Такаясу</w:t>
      </w:r>
      <w:bookmarkStart w:id="1" w:name="frame27"/>
      <w:bookmarkEnd w:id="1"/>
      <w:r>
        <w:rPr>
          <w:color w:val="363636"/>
          <w:sz w:val="28"/>
          <w:szCs w:val="28"/>
        </w:rPr>
        <w:t>.</w:t>
      </w:r>
    </w:p>
    <w:p w:rsidR="001C6C2A" w:rsidRDefault="001C6C2A" w:rsidP="001C6C2A">
      <w:pPr>
        <w:widowControl/>
        <w:numPr>
          <w:ilvl w:val="0"/>
          <w:numId w:val="11"/>
        </w:numPr>
        <w:ind w:left="0" w:firstLine="77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Алгоритм диагностики и лечения болезни Кавасаки.</w:t>
      </w:r>
    </w:p>
    <w:p w:rsidR="001C6C2A" w:rsidRDefault="001C6C2A" w:rsidP="001C6C2A">
      <w:pPr>
        <w:widowControl/>
        <w:ind w:left="99" w:firstLine="671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3.   Алгоритм диагностики и лечения гранулематоза Вегенера.</w:t>
      </w:r>
    </w:p>
    <w:p w:rsidR="001C6C2A" w:rsidRDefault="001C6C2A" w:rsidP="001C6C2A">
      <w:pPr>
        <w:pStyle w:val="a4"/>
        <w:widowControl/>
        <w:spacing w:after="0"/>
        <w:ind w:left="99"/>
        <w:jc w:val="center"/>
        <w:rPr>
          <w:color w:val="363636"/>
          <w:sz w:val="28"/>
          <w:szCs w:val="28"/>
        </w:rPr>
      </w:pPr>
    </w:p>
    <w:p w:rsidR="001C6C2A" w:rsidRDefault="001C6C2A" w:rsidP="001C6C2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Литература</w:t>
      </w:r>
    </w:p>
    <w:p w:rsidR="001C6C2A" w:rsidRDefault="001C6C2A" w:rsidP="001C6C2A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Основная: </w:t>
      </w:r>
    </w:p>
    <w:p w:rsidR="001C6C2A" w:rsidRDefault="001C6C2A" w:rsidP="001C6C2A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Шабалов, Н. П. Детские болезни [Электронный ресурс] : учебник : в 2 т. - 8-е изд., перераб. и доп. - СПб. : Питер, 2017. - Т. 1. - 880 с. : ил. - (Учебник для вузов). </w:t>
      </w:r>
    </w:p>
    <w:p w:rsidR="001C6C2A" w:rsidRDefault="001C6C2A" w:rsidP="001C6C2A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Дополнительная: </w:t>
      </w:r>
    </w:p>
    <w:p w:rsidR="001C6C2A" w:rsidRDefault="001C6C2A" w:rsidP="001C6C2A">
      <w:pPr>
        <w:ind w:firstLine="518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  1. Федеральные клинические рекомендации Союза педиатров России (</w:t>
      </w:r>
      <w:hyperlink r:id="rId6" w:history="1">
        <w:hyperlink r:id="rId7" w:anchor="_blank" w:history="1"/>
        <w:r>
          <w:rPr>
            <w:rStyle w:val="a3"/>
            <w:color w:val="000000"/>
            <w:sz w:val="28"/>
          </w:rPr>
          <w:t>http://www.pediatr-russia.ru/newsrecomend</w:t>
        </w:r>
      </w:hyperlink>
      <w:hyperlink r:id="rId8" w:anchor="_blank" w:history="1">
        <w:r>
          <w:rPr>
            <w:rStyle w:val="a3"/>
            <w:color w:val="000000"/>
            <w:sz w:val="28"/>
          </w:rPr>
          <w:t>)</w:t>
        </w:r>
      </w:hyperlink>
      <w:r>
        <w:rPr>
          <w:color w:val="000000"/>
          <w:sz w:val="28"/>
        </w:rPr>
        <w:t xml:space="preserve">. </w:t>
      </w:r>
    </w:p>
    <w:p w:rsidR="001C6C2A" w:rsidRDefault="001C6C2A" w:rsidP="001C6C2A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</w:t>
      </w:r>
      <w:r>
        <w:rPr>
          <w:bCs/>
          <w:color w:val="000000"/>
          <w:sz w:val="28"/>
          <w:szCs w:val="28"/>
        </w:rPr>
        <w:t>Электронные ресурсы:</w:t>
      </w:r>
    </w:p>
    <w:p w:rsidR="001C6C2A" w:rsidRDefault="001C6C2A" w:rsidP="001C6C2A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КрасГМУ "Colibris";</w:t>
      </w:r>
    </w:p>
    <w:p w:rsidR="001C6C2A" w:rsidRDefault="001C6C2A" w:rsidP="001C6C2A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Консультант студента;</w:t>
      </w:r>
    </w:p>
    <w:p w:rsidR="001C6C2A" w:rsidRDefault="001C6C2A" w:rsidP="001C6C2A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Университетская библиотека OnLine;</w:t>
      </w:r>
    </w:p>
    <w:p w:rsidR="001C6C2A" w:rsidRDefault="001C6C2A" w:rsidP="001C6C2A">
      <w:pPr>
        <w:numPr>
          <w:ilvl w:val="0"/>
          <w:numId w:val="2"/>
        </w:numPr>
        <w:jc w:val="both"/>
      </w:pPr>
      <w:r>
        <w:rPr>
          <w:bCs/>
          <w:color w:val="000000"/>
          <w:sz w:val="28"/>
          <w:szCs w:val="28"/>
        </w:rPr>
        <w:t xml:space="preserve">ЭНБ eLibrary </w:t>
      </w:r>
    </w:p>
    <w:p w:rsidR="004466C6" w:rsidRDefault="004466C6"/>
    <w:sectPr w:rsidR="004466C6">
      <w:pgSz w:w="11906" w:h="16838"/>
      <w:pgMar w:top="1134" w:right="1134" w:bottom="10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D"/>
    <w:multiLevelType w:val="multilevel"/>
    <w:tmpl w:val="0000002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A"/>
    <w:multiLevelType w:val="multilevel"/>
    <w:tmpl w:val="00000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B"/>
    <w:multiLevelType w:val="multilevel"/>
    <w:tmpl w:val="0000004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C"/>
    <w:multiLevelType w:val="multilevel"/>
    <w:tmpl w:val="00000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D"/>
    <w:multiLevelType w:val="multilevel"/>
    <w:tmpl w:val="0000004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E"/>
    <w:multiLevelType w:val="multilevel"/>
    <w:tmpl w:val="000000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4F"/>
    <w:multiLevelType w:val="multilevel"/>
    <w:tmpl w:val="0000004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50"/>
    <w:multiLevelType w:val="multilevel"/>
    <w:tmpl w:val="00000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51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52"/>
    <w:multiLevelType w:val="multilevel"/>
    <w:tmpl w:val="0000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2A"/>
    <w:rsid w:val="001C6C2A"/>
    <w:rsid w:val="004466C6"/>
    <w:rsid w:val="00614C9C"/>
    <w:rsid w:val="006A0208"/>
    <w:rsid w:val="00D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A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6C2A"/>
  </w:style>
  <w:style w:type="character" w:styleId="a3">
    <w:name w:val="Hyperlink"/>
    <w:rsid w:val="001C6C2A"/>
    <w:rPr>
      <w:color w:val="000080"/>
      <w:u w:val="single"/>
    </w:rPr>
  </w:style>
  <w:style w:type="paragraph" w:styleId="a4">
    <w:name w:val="Body Text"/>
    <w:basedOn w:val="a"/>
    <w:link w:val="a5"/>
    <w:rsid w:val="001C6C2A"/>
    <w:pPr>
      <w:spacing w:after="120"/>
    </w:pPr>
  </w:style>
  <w:style w:type="character" w:customStyle="1" w:styleId="a5">
    <w:name w:val="Основной текст Знак"/>
    <w:basedOn w:val="a0"/>
    <w:link w:val="a4"/>
    <w:rsid w:val="001C6C2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1C6C2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A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6C2A"/>
  </w:style>
  <w:style w:type="character" w:styleId="a3">
    <w:name w:val="Hyperlink"/>
    <w:rsid w:val="001C6C2A"/>
    <w:rPr>
      <w:color w:val="000080"/>
      <w:u w:val="single"/>
    </w:rPr>
  </w:style>
  <w:style w:type="paragraph" w:styleId="a4">
    <w:name w:val="Body Text"/>
    <w:basedOn w:val="a"/>
    <w:link w:val="a5"/>
    <w:rsid w:val="001C6C2A"/>
    <w:pPr>
      <w:spacing w:after="120"/>
    </w:pPr>
  </w:style>
  <w:style w:type="character" w:customStyle="1" w:styleId="a5">
    <w:name w:val="Основной текст Знак"/>
    <w:basedOn w:val="a0"/>
    <w:link w:val="a4"/>
    <w:rsid w:val="001C6C2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1C6C2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newsrecomend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iatr-russia.ru/newsrecomen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newsrecomen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П. Шитьковская</cp:lastModifiedBy>
  <cp:revision>2</cp:revision>
  <dcterms:created xsi:type="dcterms:W3CDTF">2021-02-09T09:23:00Z</dcterms:created>
  <dcterms:modified xsi:type="dcterms:W3CDTF">2021-02-09T09:23:00Z</dcterms:modified>
</cp:coreProperties>
</file>