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7" w:rsidRPr="004A22A7" w:rsidRDefault="004A22A7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DF3D9B" w:rsidRPr="004A22A7" w:rsidRDefault="004A22A7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>Кафедра терапии ИПО</w:t>
      </w:r>
    </w:p>
    <w:p w:rsidR="00DF3D9B" w:rsidRPr="004A22A7" w:rsidRDefault="00DF3D9B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17" w:rsidRPr="004A22A7" w:rsidRDefault="00F85A17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 w:rsidR="00DF3D9B" w:rsidRPr="004A22A7" w:rsidRDefault="00F85A17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F3D9B" w:rsidRPr="004A22A7" w:rsidRDefault="00DF3D9B" w:rsidP="00A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A22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ХРОНИЧЕСКАЯ БОЛЕЗНЬ ПОЧЕК </w:t>
      </w:r>
    </w:p>
    <w:p w:rsidR="00DF3D9B" w:rsidRPr="004A22A7" w:rsidRDefault="00DF3D9B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9B" w:rsidRPr="004A22A7" w:rsidRDefault="00DF3D9B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9B" w:rsidRPr="004A22A7" w:rsidRDefault="00DF3D9B" w:rsidP="00A5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Выполнила: 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>Бессарабова Екатерина Олеговна</w:t>
      </w: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>ординатор первого года</w:t>
      </w: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Проверил: 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>ДМН, профессор</w:t>
      </w: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>Грищенко Елена Георгиевна</w:t>
      </w:r>
    </w:p>
    <w:p w:rsidR="004A22A7" w:rsidRPr="004A22A7" w:rsidRDefault="004A22A7" w:rsidP="00A56632">
      <w:pPr>
        <w:pStyle w:val="Standard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A7" w:rsidRPr="004A22A7" w:rsidRDefault="004A22A7" w:rsidP="00A56632">
      <w:pPr>
        <w:pStyle w:val="Standard"/>
        <w:tabs>
          <w:tab w:val="left" w:pos="0"/>
        </w:tabs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632" w:rsidRDefault="00A56632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D9B" w:rsidRPr="004A22A7" w:rsidRDefault="004A22A7" w:rsidP="00A56632">
      <w:pPr>
        <w:pStyle w:val="Standard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000000"/>
          <w:sz w:val="28"/>
          <w:szCs w:val="28"/>
        </w:rPr>
        <w:t>Красноярск 2019</w:t>
      </w:r>
    </w:p>
    <w:sdt>
      <w:sdtPr>
        <w:id w:val="-1484154757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b/>
          <w:bCs/>
          <w:color w:val="auto"/>
          <w:sz w:val="22"/>
          <w:szCs w:val="22"/>
        </w:rPr>
      </w:sdtEndPr>
      <w:sdtContent>
        <w:p w:rsidR="00A56632" w:rsidRPr="00A56632" w:rsidRDefault="00A56632" w:rsidP="00A56632">
          <w:pPr>
            <w:pStyle w:val="aa"/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56632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566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566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566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393173" w:history="1">
            <w:r w:rsidRPr="00A56632">
              <w:rPr>
                <w:rStyle w:val="a4"/>
                <w:rFonts w:ascii="Times New Roman" w:hAnsi="Times New Roman" w:cs="Times New Roman"/>
                <w:iCs/>
                <w:noProof/>
                <w:sz w:val="28"/>
                <w:szCs w:val="28"/>
              </w:rPr>
              <w:t>Определение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_Toc26393173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74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Коды по МКБ-10.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_Toc26393174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75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Эпидемиология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_Toc26393175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0" w:name="_GoBack"/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A56632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"_Toc26393176"</w:instrText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A56632">
            <w:rPr>
              <w:rStyle w:val="a4"/>
              <w:rFonts w:ascii="Times New Roman" w:hAnsi="Times New Roman" w:cs="Times New Roman"/>
              <w:iCs/>
              <w:noProof/>
              <w:sz w:val="28"/>
              <w:szCs w:val="28"/>
            </w:rPr>
            <w:t>Факторы и группы риска</w: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_Toc26393176 \h </w:instrTex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5</w: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End w:id="0"/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A56632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"_Toc26393177"</w:instrText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Скрининг</w: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_Toc26393177 \h </w:instrTex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5</w:t>
          </w:r>
          <w:r w:rsidRPr="00A566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A5663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78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КЛИНИЧЕСКИЕ РЕКОМЕНДАЦИИ ПО СКРИНИНГУ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_Toc26393178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79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Классификация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_Toc26393179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0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Принципы диагностики заболевания в амбулаторных условиях.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_Toc26393180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1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Критерии ранней диагностики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_Toc26393181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2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Принципы терапии в амбулаторных условиях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_Toc26393182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3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Тактика лечения больных АГ с нефропатией  (ЕОАГ, ЕОК, 2013)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_Toc26393183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4" w:history="1">
            <w:r w:rsidRPr="00A56632">
              <w:rPr>
                <w:rStyle w:val="a4"/>
                <w:rFonts w:ascii="Times New Roman" w:eastAsia="Batang" w:hAnsi="Times New Roman" w:cs="Times New Roman"/>
                <w:noProof/>
                <w:sz w:val="28"/>
                <w:szCs w:val="28"/>
              </w:rPr>
              <w:t>Терапевтические стратегии у больных сердечно-сосудистыми заболеваниями и ХБП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_Toc26393184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5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Показания к консультации специалистов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_Toc26393185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6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Показания к госпитализации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_Toc26393186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7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Организация медицинской помощи на амбулаторном этапе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_Toc26393187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8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Обучение пациентов.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_Toc26393188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89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Профилактика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_Toc26393189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90" w:history="1">
            <w:r w:rsidRPr="00A5663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Прогноз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_Toc26393190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Pr="00A56632" w:rsidRDefault="00A56632" w:rsidP="00A56632">
          <w:pPr>
            <w:pStyle w:val="21"/>
            <w:tabs>
              <w:tab w:val="right" w:leader="dot" w:pos="96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393191" w:history="1">
            <w:r w:rsidRPr="00A56632">
              <w:rPr>
                <w:rStyle w:val="a4"/>
                <w:rFonts w:ascii="Times New Roman" w:hAnsi="Times New Roman" w:cs="Times New Roman"/>
                <w:iCs/>
                <w:noProof/>
                <w:sz w:val="28"/>
                <w:szCs w:val="28"/>
              </w:rPr>
              <w:t>ЛИТЕРАТУРА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_Toc26393191 \h </w:instrTex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A56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6632" w:rsidRDefault="00A56632" w:rsidP="00A56632">
          <w:pPr>
            <w:spacing w:line="240" w:lineRule="auto"/>
          </w:pPr>
          <w:r w:rsidRPr="00A566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56632" w:rsidRDefault="00A56632" w:rsidP="00A56632">
      <w:pPr>
        <w:pStyle w:val="2"/>
        <w:rPr>
          <w:rStyle w:val="a7"/>
          <w:sz w:val="28"/>
          <w:szCs w:val="28"/>
        </w:rPr>
      </w:pPr>
      <w:bookmarkStart w:id="1" w:name="_Toc26393173"/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A56632" w:rsidRDefault="00A56632" w:rsidP="00A56632">
      <w:pPr>
        <w:pStyle w:val="2"/>
        <w:rPr>
          <w:rStyle w:val="a7"/>
          <w:sz w:val="28"/>
          <w:szCs w:val="28"/>
        </w:rPr>
      </w:pPr>
    </w:p>
    <w:p w:rsidR="00DF3D9B" w:rsidRPr="004A22A7" w:rsidRDefault="00DF3D9B" w:rsidP="00A56632">
      <w:pPr>
        <w:pStyle w:val="2"/>
        <w:rPr>
          <w:rStyle w:val="a7"/>
          <w:sz w:val="28"/>
          <w:szCs w:val="28"/>
        </w:rPr>
      </w:pPr>
      <w:r w:rsidRPr="004A22A7">
        <w:rPr>
          <w:rStyle w:val="a7"/>
          <w:sz w:val="28"/>
          <w:szCs w:val="28"/>
        </w:rPr>
        <w:lastRenderedPageBreak/>
        <w:t>Определение</w:t>
      </w:r>
      <w:bookmarkEnd w:id="1"/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Хроническая болезнь почек (ХБП) ― синдром, отражающий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прогрессирующий характер хронических заболеваний почек, в основе которого лежат механизмы форми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рования нефросклероза.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ХБП почти всегда протекает бессимптомно на ранних стадиях [</w:t>
      </w:r>
      <w:hyperlink r:id="rId8" w:anchor="r1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,2]. Понятие «ХБП» (вместо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понятия «хроническая почечная недостаточность») и критерии диагностики ХБП, отражающие единый подход к оценке функции почек, </w:t>
      </w:r>
      <w:r w:rsidRPr="004A22A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―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используются с </w:t>
      </w:r>
      <w:smartTag w:uri="urn:schemas-microsoft-com:office:smarttags" w:element="metricconverter">
        <w:smartTagPr>
          <w:attr w:name="ProductID" w:val="2002 г"/>
        </w:smartTagPr>
        <w:r w:rsidRPr="004A22A7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2002 г</w:t>
        </w:r>
      </w:smartTag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>K/DOQI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]. Критерии диагностики ХБП</w:t>
      </w:r>
      <w:r w:rsidRPr="004A22A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―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маркеры поражения почек,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выявленные при клинико-лабораторном и инструментальном обследовании </w:t>
      </w:r>
      <w:r w:rsidRPr="004A22A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и персистирующие в течение более трех месяцев вне </w:t>
      </w:r>
      <w:r w:rsidRPr="004A22A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зависимости от нозологического диагноза 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[4,5]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</w:pP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Критерии диагностики ХБП: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Повышенная альбуминурия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(стойкое повышение экскреции альбумина с мочой </w:t>
      </w:r>
      <w:r w:rsidRPr="004A22A7"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  <w:t>&gt;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 30 мг/сут или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 мг/ммоль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) </w:t>
      </w:r>
      <w:r w:rsidRPr="004A22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или отношение альбумина к креатинину мочи </w:t>
      </w:r>
      <w:r w:rsidRPr="004A22A7"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  <w:t>&gt;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 30 мг/г </w:t>
      </w:r>
      <w:r w:rsidRPr="004A22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патологические изменения в мочевом осадке (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протеинурия,</w:t>
      </w:r>
      <w:r w:rsidRPr="004A22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>эритроцитурия, цилиндрурия, лейкоци</w:t>
      </w:r>
      <w:r w:rsidRPr="004A22A7">
        <w:rPr>
          <w:rFonts w:ascii="Times New Roman" w:hAnsi="Times New Roman" w:cs="Times New Roman"/>
          <w:color w:val="000000"/>
          <w:spacing w:val="7"/>
          <w:sz w:val="28"/>
          <w:szCs w:val="28"/>
        </w:rPr>
        <w:t>турия).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2 Изменения электролитного состава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крови и мочи,</w:t>
      </w:r>
      <w:r w:rsidRPr="004A22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обусловленные канальцевыми нарушениями.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5"/>
          <w:sz w:val="28"/>
          <w:szCs w:val="28"/>
        </w:rPr>
        <w:t>3. Структурные нарушения,</w:t>
      </w:r>
      <w:r w:rsidRPr="004A22A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4A22A7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выявленные при лучевых методах исследования (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аномалии почек, кисты, гидронефроз, изме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нение размеров и формы почек и др.)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4. Патологические изменения ткани почек, обнаруженные при исследование нефробиоптата.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5. Изолированное  снижение СКФ &lt; 60 мл/мин/1,73 м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lang w:eastAsia="ja-JP"/>
        </w:rPr>
        <w:t xml:space="preserve">Трехмесячное ограничение в качестве временного параметра определения ХБП было выбрано потому, что в данные сроки острые варианты развития дисфункции почек, как правило, завершаются выздоровлением или приводят к очевидным клинико-морфологическим признакам хронизации процесса. 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 xml:space="preserve">ХБП может устанавливаться и после однократного исследования,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если выявлены 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t>необратимые структурные изме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нения 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A22A7">
        <w:rPr>
          <w:rFonts w:ascii="Times New Roman" w:hAnsi="Times New Roman" w:cs="Times New Roman"/>
          <w:sz w:val="28"/>
          <w:szCs w:val="28"/>
          <w:lang w:eastAsia="ja-JP"/>
        </w:rPr>
        <w:t>При выявлении первых четырех признаков ХБП устанавливается независимо от функции почек (СКФ может быть любой) и наоборот, при снижении СКФ&lt;60 мл/мин ХБП устанавливается в отсутствие других маркеров заболевания.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Нормальной функцией почек считается СКФ &gt; 90 мл/мин, сниженной − СКФ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&lt; 90 мл/мин/1,73 м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лиц 65 лет и старше СКФ в пределах 60-89 мл/мин/1,73 м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расценивают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вариант возрастной нормы)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3D9B" w:rsidRPr="004A22A7" w:rsidRDefault="00DF3D9B" w:rsidP="00A56632">
      <w:pPr>
        <w:pStyle w:val="2"/>
      </w:pPr>
      <w:bookmarkStart w:id="2" w:name="_Toc26393174"/>
      <w:r w:rsidRPr="004A22A7">
        <w:t>Коды по МКБ-10.</w:t>
      </w:r>
      <w:bookmarkEnd w:id="2"/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4A22A7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2007 г</w:t>
        </w:r>
      </w:smartTag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 МКБ-10 для ХБП установлены следующие коды: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код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N18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− (ранее − хроническая почечная недостаточ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ность) означает ХБП. Коды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N18.1- N18.5 рекомендовано  использовать для обозначения стадий (С) ХБП: 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С1 -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N18.1;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  С2 -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N18.2;  С3а и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С3б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N18.3; 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 С4 -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N18.4;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 С5 -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N18.5: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Коды  ХБП по МКБ-10: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 xml:space="preserve">N18.1 Стадия 1 - повреждение почек с нормальной или повышенной СКФ (&gt;90 мл/мин); 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N18.2 Стадия 2 - повреждение почек с незначительно сниженной СКФ  (60-89 мл/мин); 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N18.3 Стадия 3 - повреждение почек с умеренно сниженной СКФ (30-59 мл/мин);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N18.4 Стадия 4 - повреждение почек с выраженным снижением СКФ (15-29 мл/мин);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N18.5 Стадия 5 - терминальная (включая случаи ЗПТ);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N18.9 -  ХБП с неуточненной стадией.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Внедрение кодов ХБП в МКБ-10 устраняет препятствия для широкого внедрения диагноза ХБП в оте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чественную практику статистического учета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обозначения этиологии ХБП следует использовать соответствующие коды заболе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ваний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3D9B" w:rsidRPr="004A22A7" w:rsidRDefault="00DF3D9B" w:rsidP="00A56632">
      <w:pPr>
        <w:pStyle w:val="2"/>
      </w:pPr>
      <w:bookmarkStart w:id="3" w:name="_Toc26393175"/>
      <w:r w:rsidRPr="004A22A7">
        <w:t>Эпидемиология</w:t>
      </w:r>
      <w:bookmarkEnd w:id="3"/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20A3A"/>
          <w:sz w:val="28"/>
          <w:szCs w:val="28"/>
          <w:lang w:eastAsia="ja-JP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Результаты проведенных эпидемиологических исследований, проведенных с использованием критериев ХБП,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опровергли представление об относительной редкости бо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лезней почек среди населения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Распространенность ХБП в мире составляет 12-18 % и сопоставима с такими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социально значимыми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болеваниями, как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эссенциальная гипертензия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сахарный диабет, ожи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рение и метаболический синдром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Показатели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распространенности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>были получены как в индустриальных странах с высоким уровнем жизни, так и в развивающихся странах со средним и низким доходом населения.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Распространенность ХБП 1-5 стадии в США у взрослых достигает 15%.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[</w:t>
      </w:r>
      <w:hyperlink r:id="rId9" w:anchor="r4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6</w:t>
        </w:r>
      </w:hyperlink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hyperlink r:id="rId10" w:anchor="r4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7</w:t>
        </w:r>
      </w:hyperlink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],</w:t>
      </w:r>
      <w:r w:rsidRPr="004A22A7">
        <w:rPr>
          <w:rFonts w:ascii="Times New Roman" w:hAnsi="Times New Roman" w:cs="Times New Roman"/>
          <w:sz w:val="28"/>
          <w:szCs w:val="28"/>
        </w:rPr>
        <w:t xml:space="preserve"> в странах Европы (Нидерландах, Норвегии, Испании, Австралии) – 12–17%, в Японии – 18,7%; Конго – 12,4%, Китае – 14%. В России популяционные исследования распространенности ХБП не проводились. Однако результаты отдельных эпидемиологических исследований подтверждают, что аналогичные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проблемы перед отечественной нефрологией стоят не менее остро, чем в странах Европы, Азии и Америки, а распространенность как ранних, так и развернутых стадий достаточно высока.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ХБП отмечается более чем у 1/3 боль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ных с хронической сердечной недостаточностью,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36% лиц в возрасте старше 60 лет и у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16%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 трудоспособ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возраста.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Распространенность ХБП несколько выше у женщин, чем у мужчин (12,6% против 9,7%)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hyperlink r:id="rId11" w:anchor="r6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8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].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 xml:space="preserve">По возрасту ХБП более распространена среди лиц в возрасте ≥ 60 лет (39,4 %), чем от 40 до 59 лет (12,6%) или от 20 до 39 лет (8,5%). </w:t>
      </w:r>
      <w:r w:rsidRPr="004A22A7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ХБП выявляется у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5% взрослых в возрасте до 52 лет по сравнению с 68% у лиц старше 81 лет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hyperlink r:id="rId12" w:anchor="r17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9</w:t>
        </w:r>
      </w:hyperlink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].</w:t>
      </w:r>
      <w:r w:rsidRPr="004A22A7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 xml:space="preserve">По уровню образования ХБП более распространена среди лиц без среднего образования (22,1%), чем у лиц со средним и высшим образованием (15,7%).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Распространенность ХБП выше среди лиц с диабетом, чем без диабета (40,2 % против 15,4%), и с сердечно-сосудистыми заболеваниями, чем без них (28,2 % </w:t>
      </w:r>
      <w:r w:rsidRPr="004A22A7">
        <w:rPr>
          <w:rFonts w:ascii="Times New Roman" w:hAnsi="Times New Roman" w:cs="Times New Roman"/>
          <w:sz w:val="28"/>
          <w:szCs w:val="28"/>
        </w:rPr>
        <w:lastRenderedPageBreak/>
        <w:t xml:space="preserve">против 15,4%), а среди лиц с АГ больше, чем без АГ (24,6 % против 12,5 %). ХБП выявляется у 1/3 пациентов 70 лет и старше. ХБП наиболее распространена среди лиц старшего возраста, мужского пола, а также с диабетом и гипертонией. </w:t>
      </w:r>
    </w:p>
    <w:p w:rsidR="004A22A7" w:rsidRDefault="004A22A7" w:rsidP="00A56632">
      <w:pPr>
        <w:pStyle w:val="2"/>
        <w:rPr>
          <w:rStyle w:val="a7"/>
        </w:rPr>
      </w:pPr>
    </w:p>
    <w:p w:rsidR="00DF3D9B" w:rsidRPr="004A22A7" w:rsidRDefault="00DF3D9B" w:rsidP="00A56632">
      <w:pPr>
        <w:pStyle w:val="2"/>
        <w:rPr>
          <w:rStyle w:val="a7"/>
        </w:rPr>
      </w:pPr>
      <w:bookmarkStart w:id="4" w:name="_Toc26393176"/>
      <w:r w:rsidRPr="004A22A7">
        <w:rPr>
          <w:rStyle w:val="a7"/>
        </w:rPr>
        <w:t>Факторы и группы риска</w:t>
      </w:r>
      <w:bookmarkEnd w:id="4"/>
    </w:p>
    <w:p w:rsidR="00DF3D9B" w:rsidRPr="004A22A7" w:rsidRDefault="00DF3D9B" w:rsidP="00A56632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Существенное влияние на развитие и прогрессирование хронических за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болеваний почек может оказать целый ряд фак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торов: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лекарственные препараты, алкоголь и курение, состояние окружаю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щей среды, климат, характер и традиции питания, генетические особенно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сти популяции,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инфекции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др. Многие факторы развития дис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функции почек одновременно являются и «традиционными» сердечно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-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сосудистыми факторами риска: артериальная гипертония,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сахарный диабет, дислипидемия, ожирение, метабо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лический синдром, табакокурение.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другой стороны, результаты многочисленных исследований указы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вают на то, что так называемые  кардиоваскулярные риски (анемия, хроническое воспаление, оксидативный стресс, активация ренин-ангиотензин-альдостероновой системы, стресс, гиперурикемия, натрийуретические факторы и др.), ассоциируются и с прогрессирующей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дисфункцией почек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Предложена гра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дация факторов риска, основанная на данных эпидемиологических исследований. Вы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деляют факторы риска развития ХБП и факторы ее прогрессирования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каждые из них разделя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 на</w:t>
      </w:r>
      <w:r w:rsidRPr="004A22A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модифицируемые и немодифицируемые.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 немодифицируемым факторам риска развития ХБП относят: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пожилой возраст</w:t>
      </w:r>
      <w:r w:rsidRPr="004A22A7">
        <w:rPr>
          <w:rFonts w:ascii="Times New Roman" w:hAnsi="Times New Roman" w:cs="Times New Roman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мужской пол</w:t>
      </w:r>
      <w:r w:rsidRPr="004A22A7">
        <w:rPr>
          <w:rFonts w:ascii="Times New Roman" w:hAnsi="Times New Roman" w:cs="Times New Roman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исходно низкое число нефронов</w:t>
      </w:r>
      <w:r w:rsidRPr="004A22A7">
        <w:rPr>
          <w:rFonts w:ascii="Times New Roman" w:hAnsi="Times New Roman" w:cs="Times New Roman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расовые и этнические особенности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наследственные факторы (в том числе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семейный анамнез по ХБП).  К модифицируемым факторам риска развития ХБП относят: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диабет,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АГ</w:t>
      </w:r>
      <w:r w:rsidRPr="004A22A7">
        <w:rPr>
          <w:rFonts w:ascii="Times New Roman" w:hAnsi="Times New Roman" w:cs="Times New Roman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сердечно-сосудистые заболевания,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аутоиммунные болезни,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хроническое воспаление/системные инфекции,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инфекции и конкременты мочевых путей</w:t>
      </w:r>
      <w:r w:rsidRPr="004A22A7">
        <w:rPr>
          <w:rFonts w:ascii="Times New Roman" w:hAnsi="Times New Roman" w:cs="Times New Roman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обструкцию мочевых путей,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лекарственную токсичность,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высокое потребление белка,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дислипопротендемию,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табакокурение,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ожирение/метаболический синдром,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гипергомоцистеинемию,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беременность.</w:t>
      </w:r>
    </w:p>
    <w:p w:rsidR="00DF3D9B" w:rsidRPr="004A22A7" w:rsidRDefault="00DF3D9B" w:rsidP="00A566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6"/>
          <w:sz w:val="28"/>
          <w:szCs w:val="28"/>
        </w:rPr>
        <w:t>К немодифицируемым факторам прогрессирования ХБП относят</w:t>
      </w:r>
      <w:r w:rsidRPr="004A22A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: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пожилой возраст,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1"/>
          <w:sz w:val="28"/>
          <w:szCs w:val="28"/>
        </w:rPr>
        <w:t>мужской пол,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3"/>
          <w:sz w:val="28"/>
          <w:szCs w:val="28"/>
        </w:rPr>
        <w:t>исходно низкое число нефронов (низ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кая масса тела при рождении),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расовые и этнические особенности;</w:t>
      </w:r>
      <w:r w:rsidRPr="004A22A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 xml:space="preserve">к модифицируемым факторам прогрессирования: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причину ХБП, </w:t>
      </w:r>
      <w:r w:rsidRPr="004A22A7">
        <w:rPr>
          <w:rFonts w:ascii="Times New Roman" w:hAnsi="Times New Roman" w:cs="Times New Roman"/>
          <w:spacing w:val="1"/>
          <w:sz w:val="28"/>
          <w:szCs w:val="28"/>
        </w:rPr>
        <w:t xml:space="preserve">активность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процесса,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исходный уровень СКФ, уровень альбуминурии, </w:t>
      </w:r>
      <w:r w:rsidRPr="004A22A7">
        <w:rPr>
          <w:rFonts w:ascii="Times New Roman" w:hAnsi="Times New Roman" w:cs="Times New Roman"/>
          <w:spacing w:val="1"/>
          <w:sz w:val="28"/>
          <w:szCs w:val="28"/>
        </w:rPr>
        <w:t>высокие уровни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1"/>
          <w:sz w:val="28"/>
          <w:szCs w:val="28"/>
        </w:rPr>
        <w:t>системного АД</w:t>
      </w:r>
      <w:r w:rsidRPr="004A22A7">
        <w:rPr>
          <w:rFonts w:ascii="Times New Roman" w:hAnsi="Times New Roman" w:cs="Times New Roman"/>
          <w:sz w:val="28"/>
          <w:szCs w:val="28"/>
        </w:rPr>
        <w:t xml:space="preserve"> и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протеинурии,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плохой контроль СД,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2"/>
          <w:sz w:val="28"/>
          <w:szCs w:val="28"/>
        </w:rPr>
        <w:t>ожирение/метаболический синдром,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3"/>
          <w:sz w:val="28"/>
          <w:szCs w:val="28"/>
        </w:rPr>
        <w:t>дислипопротеидемию,</w:t>
      </w:r>
      <w:r w:rsidRPr="004A22A7">
        <w:rPr>
          <w:rFonts w:ascii="Times New Roman" w:hAnsi="Times New Roman" w:cs="Times New Roman"/>
          <w:sz w:val="28"/>
          <w:szCs w:val="28"/>
        </w:rPr>
        <w:t xml:space="preserve"> табакокурение, </w:t>
      </w:r>
      <w:r w:rsidRPr="004A22A7">
        <w:rPr>
          <w:rFonts w:ascii="Times New Roman" w:hAnsi="Times New Roman" w:cs="Times New Roman"/>
          <w:spacing w:val="4"/>
          <w:sz w:val="28"/>
          <w:szCs w:val="28"/>
        </w:rPr>
        <w:t>анемию</w:t>
      </w:r>
      <w:r w:rsidRPr="004A22A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метаболический ацидоз,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беременность,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2"/>
          <w:sz w:val="28"/>
          <w:szCs w:val="28"/>
        </w:rPr>
        <w:t>ги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перпаратиреоз,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высокобелковая диета и повышенное потре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бление натрия с пищей и другие.</w:t>
      </w:r>
    </w:p>
    <w:p w:rsidR="00DF3D9B" w:rsidRPr="004A22A7" w:rsidRDefault="00DF3D9B" w:rsidP="00A56632">
      <w:pPr>
        <w:pStyle w:val="2"/>
      </w:pPr>
      <w:bookmarkStart w:id="5" w:name="_Toc26393177"/>
      <w:r w:rsidRPr="004A22A7">
        <w:t>Скрининг</w:t>
      </w:r>
      <w:bookmarkEnd w:id="5"/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eastAsia="Batang" w:hAnsi="Times New Roman" w:cs="Times New Roman"/>
          <w:sz w:val="28"/>
          <w:szCs w:val="28"/>
          <w:lang w:eastAsia="ja-JP"/>
        </w:rPr>
        <w:lastRenderedPageBreak/>
        <w:t>Пациенты с ХБП или наличием факторов риска ХБП должны находиться под медицинским наблюдением с определением рСКФ и уровня альбуминурии/протеинурии не реже 1 раза в год.</w:t>
      </w:r>
      <w:r w:rsidRPr="004A22A7">
        <w:rPr>
          <w:rFonts w:ascii="Times New Roman" w:hAnsi="Times New Roman" w:cs="Times New Roman"/>
          <w:sz w:val="28"/>
          <w:szCs w:val="28"/>
        </w:rPr>
        <w:t xml:space="preserve"> Хотя методы скрининга ХБП не были оценены в клинических исследованиях, однако высокая распространенность заболевания в отдельных «уязвимых» группах населения, легкость скрининга, а также наличие эффективных методов лечения на ранних латентных стадиях заболевания являются  обоснованием для  его проведения. </w:t>
      </w:r>
    </w:p>
    <w:p w:rsidR="00DF3D9B" w:rsidRPr="004A22A7" w:rsidRDefault="00DF3D9B" w:rsidP="00A56632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A22A7">
        <w:rPr>
          <w:sz w:val="28"/>
          <w:szCs w:val="28"/>
        </w:rPr>
        <w:t xml:space="preserve">Современные рекомендации национального почечного фонда (KDOQI) рекомендуют для скрининга ХБП оценивать  СКФ  и наличие протеинурии. Для исключения/подтверждения  диагноза ХБП нужны оба исследования, так как каждый из них может существовать самостоятельно. </w:t>
      </w:r>
      <w:r w:rsidRPr="004A22A7">
        <w:rPr>
          <w:color w:val="000000"/>
          <w:sz w:val="28"/>
          <w:szCs w:val="28"/>
        </w:rPr>
        <w:t>Рекомендуется ежегодный скрининг всех лиц с сахарным диабетом с определением альбуминурии и креатинина сыворотки крови.</w:t>
      </w:r>
      <w:r w:rsidRPr="004A22A7">
        <w:rPr>
          <w:rStyle w:val="apple-converted-space"/>
          <w:color w:val="000000"/>
          <w:sz w:val="28"/>
          <w:szCs w:val="28"/>
        </w:rPr>
        <w:t xml:space="preserve">  </w:t>
      </w:r>
      <w:r w:rsidRPr="004A22A7">
        <w:rPr>
          <w:color w:val="000000"/>
          <w:sz w:val="28"/>
          <w:szCs w:val="28"/>
        </w:rPr>
        <w:t>У больных с АГ рекомендуется проводить  анализ мочи и креатинин сыворотки крови, анализ мочи на альбумин не является обязательным [</w:t>
      </w:r>
      <w:hyperlink r:id="rId13" w:anchor="ref8" w:history="1">
        <w:r w:rsidRPr="004A22A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</w:t>
        </w:r>
      </w:hyperlink>
      <w:r w:rsidRPr="004A22A7">
        <w:rPr>
          <w:sz w:val="28"/>
          <w:szCs w:val="28"/>
        </w:rPr>
        <w:t>,</w:t>
      </w:r>
      <w:r w:rsidRPr="004A22A7">
        <w:rPr>
          <w:color w:val="000000"/>
          <w:sz w:val="28"/>
          <w:szCs w:val="28"/>
        </w:rPr>
        <w:t>11].</w:t>
      </w:r>
      <w:r w:rsidRPr="004A22A7">
        <w:rPr>
          <w:rStyle w:val="apple-converted-space"/>
          <w:color w:val="000000"/>
          <w:sz w:val="28"/>
          <w:szCs w:val="28"/>
        </w:rPr>
        <w:t> </w:t>
      </w:r>
    </w:p>
    <w:p w:rsidR="00DF3D9B" w:rsidRPr="004A22A7" w:rsidRDefault="00DF3D9B" w:rsidP="00A56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D9B" w:rsidRPr="004A22A7" w:rsidRDefault="00DF3D9B" w:rsidP="00A56632">
      <w:pPr>
        <w:pStyle w:val="2"/>
        <w:rPr>
          <w:sz w:val="32"/>
        </w:rPr>
      </w:pPr>
      <w:bookmarkStart w:id="6" w:name="_Toc26393178"/>
      <w:r w:rsidRPr="004A22A7">
        <w:rPr>
          <w:sz w:val="32"/>
        </w:rPr>
        <w:t>КЛИНИЧЕСКИЕ РЕКОМЕНДАЦИИ ПО СКРИНИНГУ</w:t>
      </w:r>
      <w:bookmarkEnd w:id="6"/>
    </w:p>
    <w:p w:rsidR="00DF3D9B" w:rsidRPr="004A22A7" w:rsidRDefault="00DF3D9B" w:rsidP="00A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1. Пациенты с гипертонией, диабетом, сердечно-сосудистыми заболеваниями, семейным анамнезом заболеваний почек должны быть ежегодно обследованы на наличие заболевания почек (</w:t>
      </w:r>
      <w:r w:rsidRPr="004A22A7">
        <w:rPr>
          <w:rFonts w:ascii="Times New Roman" w:hAnsi="Times New Roman" w:cs="Times New Roman"/>
          <w:b/>
          <w:sz w:val="28"/>
          <w:szCs w:val="28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b/>
          <w:sz w:val="28"/>
          <w:szCs w:val="28"/>
        </w:rPr>
        <w:t>.</w:t>
      </w:r>
    </w:p>
    <w:p w:rsidR="00DF3D9B" w:rsidRPr="004A22A7" w:rsidRDefault="00DF3D9B" w:rsidP="00A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2. Скрининг на ХБП может проводиться и у других пациентов с высоким  риском развития ХБП (</w:t>
      </w:r>
      <w:r w:rsidRPr="004A22A7">
        <w:rPr>
          <w:rFonts w:ascii="Times New Roman" w:hAnsi="Times New Roman" w:cs="Times New Roman"/>
          <w:b/>
          <w:sz w:val="28"/>
          <w:szCs w:val="28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):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 а) при стойкой гематурии (после исключения других причин, например, урологического заболевания);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б) при рецидивирующей инфекции мочевых путей или обструкции мочевыводящих путей;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с) при системных заболеваниях, которые могут повлиять на почки (например, вирус иммунодефицита человека, системная красная волчанка, гиперурикемия, множественная миелома). </w:t>
      </w:r>
    </w:p>
    <w:p w:rsidR="00DF3D9B" w:rsidRPr="004A22A7" w:rsidRDefault="00DF3D9B" w:rsidP="00A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3. Скрининг ХБП включает анализ мочи и оценку скорости клубочковой фильтрации  (рСКФ) (</w:t>
      </w:r>
      <w:r w:rsidRPr="004A22A7">
        <w:rPr>
          <w:rFonts w:ascii="Times New Roman" w:hAnsi="Times New Roman" w:cs="Times New Roman"/>
          <w:b/>
          <w:sz w:val="28"/>
          <w:szCs w:val="28"/>
        </w:rPr>
        <w:t>В</w:t>
      </w:r>
      <w:r w:rsidRPr="004A22A7">
        <w:rPr>
          <w:rFonts w:ascii="Times New Roman" w:hAnsi="Times New Roman" w:cs="Times New Roman"/>
          <w:sz w:val="28"/>
          <w:szCs w:val="28"/>
        </w:rPr>
        <w:t>).</w:t>
      </w:r>
    </w:p>
    <w:p w:rsidR="00DF3D9B" w:rsidRPr="004A22A7" w:rsidRDefault="00DF3D9B" w:rsidP="00A56632">
      <w:pPr>
        <w:pStyle w:val="4"/>
        <w:spacing w:line="240" w:lineRule="auto"/>
        <w:jc w:val="center"/>
      </w:pPr>
      <w:r w:rsidRPr="004A22A7">
        <w:t>4. Пациенты с сахарным диабетом с отрицательным белком в моче (исследованным методом тест-полосок) должны быть проверены на наличие микроальбуминурии (В) (с применением МАУ-чувствительный тест-полоски или измерением соотношения  микроальбумина к креатинину в утренней порции мочи.)</w:t>
      </w:r>
    </w:p>
    <w:p w:rsidR="00DF3D9B" w:rsidRPr="004A22A7" w:rsidRDefault="00DF3D9B" w:rsidP="00A56632">
      <w:pPr>
        <w:pStyle w:val="2"/>
      </w:pPr>
      <w:bookmarkStart w:id="7" w:name="_Toc26393179"/>
      <w:r w:rsidRPr="004A22A7">
        <w:t>Классификация</w:t>
      </w:r>
      <w:bookmarkEnd w:id="7"/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Деление ХБП на 5 стадий,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K/DOQI,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2002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]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(таблица 1). 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Хотя ХБП на ранних стадиях протекает бессимптомно, тем не менее, уже на 1-3 стадиях снижение СКФ и альбуминурия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связаны со смертностью </w:t>
      </w:r>
      <w:hyperlink r:id="rId14" w:anchor="r7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[</w:t>
        </w:r>
      </w:hyperlink>
      <w:hyperlink r:id="rId15" w:anchor="r7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13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], сердечно-сосудистыми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заболеваниями [</w:t>
      </w:r>
      <w:hyperlink r:id="rId16" w:anchor="r9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14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], переломами [</w:t>
      </w:r>
      <w:hyperlink r:id="rId17" w:anchor="r10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15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], потерей костной массы [</w:t>
      </w:r>
      <w:hyperlink r:id="rId18" w:anchor="r11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16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], инфекциями [</w:t>
      </w:r>
      <w:hyperlink r:id="rId19" w:anchor="r12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17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], когнитивными нарушениями [</w:t>
      </w:r>
      <w:hyperlink r:id="rId20" w:anchor="r13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18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], и хрупкостью кости [</w:t>
      </w:r>
      <w:hyperlink r:id="rId21" w:anchor="r14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].</w:t>
      </w:r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Распространенность сердечно-сосудистых заболеваний возрастает с 6% у пациентов без ХБП до 36% у пациентов на  3 стадии ХБП [</w:t>
      </w:r>
      <w:hyperlink r:id="rId22" w:anchor="r17-9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9</w:t>
        </w:r>
      </w:hyperlink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]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A22A7" w:rsidRPr="00B80B7D" w:rsidRDefault="00DF3D9B" w:rsidP="00A566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настоящее время с учетом различий почечного и сердечно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-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сосудистого прогнозов у лиц с ХБП 3 ст. при СКФ от 59 до 45 мл/мин/1,73 м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и от 44 до 30 мл/мин/1,73 м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предложено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деление 3 стадии ХБП на две подстадии: 3а)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высокий сердечно-сосудистый ри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ск при умеренных темпах прогрессирования ХБП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(СКФ от 59 до 45 мл/мин/1,73 м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36)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риск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прогрессирования ХБП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выше, чем риск сердечно-сосудистых осложнений (СКФ от 44 до 30 мл/мин/1,73 м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) [Смирнов А.В. и соавт., 2008;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D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2009;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Шилов Е.М. и соавт., 2012].  В клинической практике допустимо использование 5-ти стадийной классификации  ХБП  без подразделения на подстадии.</w:t>
      </w:r>
    </w:p>
    <w:p w:rsidR="00DF3D9B" w:rsidRPr="00B80B7D" w:rsidRDefault="00DF3D9B" w:rsidP="00A56632">
      <w:pPr>
        <w:shd w:val="clear" w:color="auto" w:fill="FFFFFF"/>
        <w:spacing w:line="240" w:lineRule="auto"/>
        <w:ind w:right="28" w:firstLine="272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тадии</w:t>
      </w:r>
      <w:r w:rsidRPr="00B80B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ХБП</w:t>
      </w:r>
      <w:r w:rsidRPr="00B80B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Pr="004A22A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80B7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4A22A7">
        <w:rPr>
          <w:rFonts w:ascii="Times New Roman" w:hAnsi="Times New Roman" w:cs="Times New Roman"/>
          <w:color w:val="000000"/>
          <w:sz w:val="28"/>
          <w:szCs w:val="28"/>
          <w:lang w:val="en-US"/>
        </w:rPr>
        <w:t>DOQI</w:t>
      </w:r>
      <w:r w:rsidRPr="00B80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0B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2002]                           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Таблица</w:t>
      </w:r>
      <w:r w:rsidRPr="00B80B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</w:t>
      </w:r>
    </w:p>
    <w:p w:rsidR="00DF3D9B" w:rsidRPr="00B80B7D" w:rsidRDefault="00DF3D9B" w:rsidP="00A56632">
      <w:pPr>
        <w:spacing w:after="7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40"/>
        <w:gridCol w:w="1980"/>
      </w:tblGrid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B80B7D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Стадии  ХБП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СКФ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Стадии (С)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Характеристика</w:t>
            </w:r>
          </w:p>
          <w:p w:rsidR="00DF3D9B" w:rsidRPr="004A22A7" w:rsidRDefault="00DF3D9B" w:rsidP="00A56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функции почек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after="0" w:line="240" w:lineRule="auto"/>
              <w:ind w:left="108" w:hanging="102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Уровень </w:t>
            </w: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СКФ</w:t>
            </w:r>
          </w:p>
          <w:p w:rsidR="00DF3D9B" w:rsidRPr="004A22A7" w:rsidRDefault="00DF3D9B" w:rsidP="00A56632">
            <w:pPr>
              <w:shd w:val="clear" w:color="auto" w:fill="FFFFFF"/>
              <w:spacing w:after="0" w:line="240" w:lineRule="auto"/>
              <w:ind w:left="108" w:hanging="102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мл/мин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Мл/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(мл/ </w:t>
            </w:r>
            <w:r w:rsidRPr="004A22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мин/1,73 м</w:t>
            </w:r>
            <w:r w:rsidRPr="004A22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2</w:t>
            </w:r>
            <w:r w:rsidRPr="004A22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Высокая или оптимальная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&gt;90        .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Незначительно сниженная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60-89      ,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Умеренно сниженная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45-59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36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Существенно сниженная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30-44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Резко сниженная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15-29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Терминальная почечная недостаточность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71"/>
                <w:sz w:val="28"/>
                <w:szCs w:val="28"/>
              </w:rPr>
              <w:t xml:space="preserve">&lt; </w:t>
            </w:r>
            <w:r w:rsidRPr="004A22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15</w:t>
            </w:r>
            <w:r w:rsidRPr="004A22A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71"/>
                <w:sz w:val="28"/>
                <w:szCs w:val="28"/>
              </w:rPr>
              <w:t xml:space="preserve">    </w:t>
            </w:r>
          </w:p>
        </w:tc>
      </w:tr>
    </w:tbl>
    <w:p w:rsidR="00DF3D9B" w:rsidRPr="004A22A7" w:rsidRDefault="00DF3D9B" w:rsidP="00A56632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DF3D9B" w:rsidRPr="004A22A7" w:rsidRDefault="00DF3D9B" w:rsidP="00A56632">
      <w:pPr>
        <w:pStyle w:val="2"/>
        <w:rPr>
          <w:sz w:val="32"/>
        </w:rPr>
      </w:pPr>
      <w:bookmarkStart w:id="8" w:name="_Toc26393180"/>
      <w:r w:rsidRPr="004A22A7">
        <w:rPr>
          <w:sz w:val="32"/>
        </w:rPr>
        <w:t>Принципы диагностики заболевания в амбулаторных условиях.</w:t>
      </w:r>
      <w:bookmarkEnd w:id="8"/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ja-JP"/>
        </w:rPr>
      </w:pPr>
      <w:r w:rsidRPr="004A22A7">
        <w:rPr>
          <w:rFonts w:ascii="Times New Roman" w:eastAsia="Batang" w:hAnsi="Times New Roman" w:cs="Times New Roman"/>
          <w:sz w:val="28"/>
          <w:szCs w:val="28"/>
          <w:lang w:eastAsia="ja-JP"/>
        </w:rPr>
        <w:t>Каждый визит к нефрологу или другому специалисту, наблюдающему пациента с факторами риска ХБП или с установленной ХБП, должен сопровождаться исследованием ОАМ, определением МАУ/ПУ, расчетом СКФ и проведением визуализирующих методов исследований, с регистрацией текущей стадии ХБП в медицинской документации. Такой подход позволяет оценивать темпы ее прогрессирования и планировать соответствующую коррекцию характера и объема лечебно-диагностических мероприятий.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Для оценки функции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почек </w:t>
      </w:r>
      <w:r w:rsidRPr="004A22A7">
        <w:rPr>
          <w:rFonts w:ascii="Times New Roman" w:hAnsi="Times New Roman" w:cs="Times New Roman"/>
          <w:sz w:val="28"/>
          <w:szCs w:val="28"/>
        </w:rPr>
        <w:t xml:space="preserve">у взрослых в настоящее время используется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формула </w:t>
      </w:r>
      <w:r w:rsidRPr="004A22A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Кокрофта-Голта (позволяет стандартизировать оценку СКФ), которая довольно точно отражает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СКФ на начальных стадиях (1-3) ХБП</w:t>
      </w:r>
      <w:r w:rsidRPr="004A22A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:</w:t>
      </w:r>
    </w:p>
    <w:p w:rsidR="00DF3D9B" w:rsidRPr="004A22A7" w:rsidRDefault="00DF3D9B" w:rsidP="00A5663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1. СКФ =  (140 — возраст в годах) х масса тела в кг / (72 х концентрация в крови креатинина в мг%) х 0,85 (у женщин)</w:t>
      </w:r>
    </w:p>
    <w:p w:rsidR="00DF3D9B" w:rsidRPr="004A22A7" w:rsidRDefault="00DF3D9B" w:rsidP="00A56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или:</w:t>
      </w:r>
    </w:p>
    <w:p w:rsidR="00DF3D9B" w:rsidRPr="004A22A7" w:rsidRDefault="00DF3D9B" w:rsidP="00A5663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lastRenderedPageBreak/>
        <w:t>2. СКФ =  (140 — возраст в годах) х масса тела в кг / концентрация в крови креатинина в мкмоль/л) х 1,23 (у мужчин),</w:t>
      </w:r>
    </w:p>
    <w:p w:rsidR="00DF3D9B" w:rsidRPr="004A22A7" w:rsidRDefault="00DF3D9B" w:rsidP="00A56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3D9B" w:rsidRPr="004A22A7" w:rsidRDefault="00DF3D9B" w:rsidP="00A56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ченное значение желательно стандартизировать на поверхность тела паци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ента.</w:t>
      </w:r>
    </w:p>
    <w:p w:rsidR="00DF3D9B" w:rsidRPr="004A22A7" w:rsidRDefault="00DF3D9B" w:rsidP="00A566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Проба Ребер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га-Тареева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настоящее время используется только при некоторых ситуациях (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нестандартные размеры тела пациента – отсутствие конечностей, выраженное ожирении или истощение, беременность, миодистрофия,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пара- и квадриплегия,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вегетарианская диета,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быстрое снижение функции почек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наличие почечного трансплантата)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F3D9B" w:rsidRPr="004A22A7" w:rsidRDefault="00DF3D9B" w:rsidP="00A566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СКФ=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/1440 х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UCr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SCr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мл/мин,</w:t>
      </w:r>
    </w:p>
    <w:p w:rsidR="00DF3D9B" w:rsidRPr="004A22A7" w:rsidRDefault="00DF3D9B" w:rsidP="00A56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где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объем мочи за сутки в мл,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UCr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концентрация креатинина в суточной моче; 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SCr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концентрация креатинина в сыворотке крови, забранной в конце пробы.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Полу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ченное значение желательно стандартизировать на поверхность тела паци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ента.</w:t>
      </w:r>
    </w:p>
    <w:p w:rsidR="00DF3D9B" w:rsidRPr="004A22A7" w:rsidRDefault="00DF3D9B" w:rsidP="00A566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оценки функции почек у детей используется формула Шварца:</w:t>
      </w:r>
    </w:p>
    <w:p w:rsidR="00DF3D9B" w:rsidRPr="004A22A7" w:rsidRDefault="00DF3D9B" w:rsidP="00A566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СКФ=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ост/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SCr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DF3D9B" w:rsidRPr="004A22A7" w:rsidRDefault="00DF3D9B" w:rsidP="00A56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где Рост – в см,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SCr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концентрация креатинина в сыворотки крови; 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A2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возрастной коэффициент, который у детей до 13 лет приблизительно равен 0,0484, а у мальчиков старше 13 лет – 0,0616.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оценки  аль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буминурии/протеинурии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используют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традиционные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градации альбуминурии: - &lt;30;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30-299; &gt;300 мг альбумина/г креатинина мочи (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нормо-, микро-, макроальбуминурия/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протеинурия). Для оценки мочевой экскреции альбумина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(МЭА)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предложены градации: «оптимальный» уровень (&lt;10 мг/г),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«высоконормальный» (10-29 мг/г), «высокий» (30-299 мг/г), «очень высо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кий» (300-1999 мг/г) и «нефротический» (&gt;2000 мг/г)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и использование их для прогноза  риска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общей и сердечно-сосудистой смертности</w:t>
      </w:r>
      <w:r w:rsidRPr="004A22A7">
        <w:rPr>
          <w:rFonts w:ascii="Times New Roman" w:hAnsi="Times New Roman" w:cs="Times New Roman"/>
          <w:sz w:val="28"/>
          <w:szCs w:val="28"/>
        </w:rPr>
        <w:t xml:space="preserve"> [А.В.Смирнов и соавт., 2013].</w:t>
      </w:r>
    </w:p>
    <w:p w:rsidR="00DF3D9B" w:rsidRPr="004A22A7" w:rsidRDefault="00DF3D9B" w:rsidP="00A56632">
      <w:pPr>
        <w:pStyle w:val="2"/>
        <w:rPr>
          <w:sz w:val="32"/>
        </w:rPr>
      </w:pPr>
      <w:bookmarkStart w:id="9" w:name="_Toc26393181"/>
      <w:r w:rsidRPr="004A22A7">
        <w:rPr>
          <w:sz w:val="32"/>
        </w:rPr>
        <w:t>Критерии ранней диагностики</w:t>
      </w:r>
      <w:bookmarkEnd w:id="9"/>
    </w:p>
    <w:p w:rsidR="00DF3D9B" w:rsidRPr="004A22A7" w:rsidRDefault="00DF3D9B" w:rsidP="00A56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ХБП часто остается недиагностированной.  Раннее выявление ХБП, вторичная профилактика (нефропротекция) и лечение осложнений могут улучшить долгосрочный  прогноз заболевания.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У каждого пациента с выявленным заболеванием почек необходимо обследование, включающее анамнез, физикальные и лабораторные данные,  оценку СКФ.</w:t>
      </w:r>
    </w:p>
    <w:p w:rsidR="00DF3D9B" w:rsidRPr="004A22A7" w:rsidRDefault="00DF3D9B" w:rsidP="00A56632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1. РЕКОМЕНДАЦИИ ПО АНАМНЕЗУ  [I]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Анамнез может выявить излечимую причину ХБП. Клиническое обследование  помогает выявить маркеры и наиболее вероятные  причины, </w:t>
      </w:r>
      <w:r w:rsidRPr="004A22A7">
        <w:rPr>
          <w:rFonts w:ascii="Times New Roman" w:hAnsi="Times New Roman" w:cs="Times New Roman"/>
          <w:sz w:val="28"/>
          <w:szCs w:val="28"/>
        </w:rPr>
        <w:lastRenderedPageBreak/>
        <w:t>осложнения и сопутствующие заболевания. Уточнение этиологии позволяет исключить обратимые причины ХБП.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Выявление анамнеза диабета, гипертонии, сердечно-сосудистых заболеваний; выявление симптомов, указывающих на обструкцию мочевыводящих, гепатит В или С, ВИЧ; камни в почках, инфекции мочевыводящих путей, признаки системного васкулита  (например, сыпь, артрит, серозит), или синдром  хронической боли (подозрение на злоупотребления анальгетиками),  злокачественные опухоли, анамнез  брюшной/тазовой операции или радиации, воздействие экологических токсинов. Семейный анамнез на предмет наследственных заболеваний почек (например, поликистоза почек).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Лекарства, которые могут снижать функцию почек, должны быть отменены: нестероидные противовоспалительные препараты, анальгетики, диуретики, литий, циклоспорин, такролимус, противовирусные средства, химиотерапевтические средства, антибиотики, аллопуринол, диетические и травяные добавки. ИАПФ  и</w:t>
      </w:r>
      <w:r w:rsidRPr="004A2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БРА, которые предпочтительны при ХБП  из-за их нефропротективных</w:t>
      </w:r>
      <w:r w:rsidRPr="004A2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эффектов, могут  вызывать острое снижение СКФ и в некоторых</w:t>
      </w:r>
      <w:r w:rsidRPr="004A2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случаях требуют отмены препарата;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Если у пациентов с СКФ &lt;15 мл/мин/1.73м</w:t>
      </w:r>
      <w:r w:rsidRPr="004A2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sz w:val="28"/>
          <w:szCs w:val="28"/>
        </w:rPr>
        <w:t xml:space="preserve"> не выявлено других  симптомов, специфичных для каких-либо заболеваний, то эти симптомы: нарушение сна,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нижение внимания;  тошнота, рвота, анорексия, изменение веса; одышка, ортопноэ, отеки ног; усталость, мышечные спазмы, беспокойные ноги, периферическая невропатия, зуд, − как правило, связаны с ХБП.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2.  РЕКОМЕНДАЦИИ ПО ФИЗИКАЛЬНОМУ ИССЛЕДОВАНИЮ.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  Физикальное  обследование может помочь в выявления причин и осложнений ХБП.  ИМТ должен быть оценен при каждом посещении. Хрипы в легких, набухание яремной вены  и наличие периферических отеков говорят о недостаточности кровообращения.  Шум на животе или бедре может указывать на наличие стеноза почечной артерии; выявление наполненного  мочевого пузыря или увеличенной простаты − на  наличие обструкции мочевыводящих путей. Сыпь или воспалительный артрит могут быть проявлением ревматологических заболеваний. Перикардиальный шум может указывать на перикардит у больного с поздней ХБП. Пациенты с диабетом должны быть обследованы на наличие ретинопатии, хотя диабетическая нефропатия может быть и без ретинопатии, особенно у больных с диабетом II типа.</w:t>
      </w:r>
    </w:p>
    <w:p w:rsidR="00DF3D9B" w:rsidRPr="004A22A7" w:rsidRDefault="00DF3D9B" w:rsidP="00A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Обследование пациентов с ХБП должно включать [I]: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1. Рост, вес и ИМТ.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2. Витальные функции, в том числе ортостатическое АД и пульс.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3. Оценку объема (хрипы, набухание шейных вен, периферические отеки,  сердечный ритм «галопа»).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4. Абдоминальные находки (объем, шумы, увеличенный мочевой пузырь, асцит).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5. Кожные покровы (сыпь, стигмы атероэмболии или ишемии).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lastRenderedPageBreak/>
        <w:t>6. Конечности: обследование ног, бедренной артерии (шум), суставов (артрит).</w:t>
      </w:r>
    </w:p>
    <w:p w:rsidR="00DF3D9B" w:rsidRPr="004A22A7" w:rsidRDefault="00DF3D9B" w:rsidP="00A5663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3. РЕКОМЕНДАЦИИ ПО ОЦЕНКЕ ФУНКЦИИ ПОЧЕК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1. У пациентов с ХБП стадия  должна быть оценена по формуле  Кокрофта-Голта (при СКФ &gt;60 мл/мин) или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MDRD</w:t>
      </w:r>
      <w:r w:rsidRPr="004A22A7">
        <w:rPr>
          <w:rFonts w:ascii="Times New Roman" w:hAnsi="Times New Roman" w:cs="Times New Roman"/>
          <w:sz w:val="28"/>
          <w:szCs w:val="28"/>
        </w:rPr>
        <w:t xml:space="preserve"> (</w:t>
      </w:r>
      <w:r w:rsidRPr="004A22A7">
        <w:rPr>
          <w:rFonts w:ascii="Times New Roman" w:hAnsi="Times New Roman" w:cs="Times New Roman"/>
          <w:b/>
          <w:sz w:val="28"/>
          <w:szCs w:val="28"/>
        </w:rPr>
        <w:t>А</w:t>
      </w:r>
      <w:r w:rsidRPr="004A22A7">
        <w:rPr>
          <w:rFonts w:ascii="Times New Roman" w:hAnsi="Times New Roman" w:cs="Times New Roman"/>
          <w:sz w:val="28"/>
          <w:szCs w:val="28"/>
        </w:rPr>
        <w:t>) при уровне СКФ &lt;60 мл/мин/1.73m</w:t>
      </w:r>
      <w:r w:rsidRPr="004A22A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A22A7">
        <w:rPr>
          <w:rFonts w:ascii="Times New Roman" w:hAnsi="Times New Roman" w:cs="Times New Roman"/>
          <w:sz w:val="28"/>
          <w:szCs w:val="28"/>
        </w:rPr>
        <w:t xml:space="preserve">или 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EPI</w:t>
      </w:r>
      <w:r w:rsidRPr="004A22A7">
        <w:rPr>
          <w:rFonts w:ascii="Times New Roman" w:hAnsi="Times New Roman" w:cs="Times New Roman"/>
          <w:sz w:val="28"/>
          <w:szCs w:val="28"/>
        </w:rPr>
        <w:t xml:space="preserve"> (независимо от уровня СКФ). Если возраст пациента &gt;70 лет, стабильная СКФ в диапазоне 45-59 мл/мин/1.73м</w:t>
      </w:r>
      <w:r w:rsidRPr="004A2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sz w:val="28"/>
          <w:szCs w:val="28"/>
        </w:rPr>
        <w:t xml:space="preserve">  может считаться допустимой в ряде случаев (ЕАОГ, ЕОК,2013).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3. Креатинин сыворотки крови не должен быть использован для оценки  функции почек [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A22A7">
        <w:rPr>
          <w:rFonts w:ascii="Times New Roman" w:hAnsi="Times New Roman" w:cs="Times New Roman"/>
          <w:sz w:val="28"/>
          <w:szCs w:val="28"/>
        </w:rPr>
        <w:t>], так как он ненадежный маркер истинной СКФ, особенно у пациентов со сниженной мышечной массой (CARI , 2005; KDOQI , 2002).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4. Все клинические лаборатории должны считать рСКФ наряду с измерением креатинина сыворотки [мнение эксперта].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5. Нет необходимости сбора 24-часовой мочи для измерения клиренса креатинина 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A22A7">
        <w:rPr>
          <w:rFonts w:ascii="Times New Roman" w:hAnsi="Times New Roman" w:cs="Times New Roman"/>
          <w:sz w:val="28"/>
          <w:szCs w:val="28"/>
        </w:rPr>
        <w:t>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Измерения темпов прогрессирования ХБП для  выявления лиц с высоким риском прогрессирования  ХБП, проведения и оценки эффективности  нефропротекции и риска развития ХСН.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При быстром снижении  СКФ у пациентов с ХБП следует исключить острую почечную недостаточность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и выявить обратимые причины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 кратчайшие сроки, например [</w:t>
      </w: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en-US"/>
        </w:rPr>
        <w:t>I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]: гиповолемию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тяжелую сердечную недостаточность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обструкцию мочевых путей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острый некроз канальцев, возникший в условиях гипотонии или приема нефротоксичных препаратов,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о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стрый интерстициальный нефрит.</w:t>
      </w:r>
    </w:p>
    <w:p w:rsidR="00DF3D9B" w:rsidRPr="004A22A7" w:rsidRDefault="00DF3D9B" w:rsidP="00A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 4. РЕКОМЕНДАЦИИ ПО ЛАБОРАТОРНОЙ ДИАГНОСТИКЕ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Имеют решающее значение в установлении стадии, хронизации и осложнений ХБП. Кроме того, лабораторные исследования могут помочь определить этиологию ХБП.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 Регулярные лабораторные исследования должны включать: [</w:t>
      </w:r>
      <w:r w:rsidRPr="004A22A7">
        <w:rPr>
          <w:rFonts w:ascii="Times New Roman" w:hAnsi="Times New Roman" w:cs="Times New Roman"/>
          <w:b/>
          <w:sz w:val="28"/>
          <w:szCs w:val="28"/>
        </w:rPr>
        <w:t>I</w:t>
      </w:r>
      <w:r w:rsidRPr="004A22A7">
        <w:rPr>
          <w:rFonts w:ascii="Times New Roman" w:hAnsi="Times New Roman" w:cs="Times New Roman"/>
          <w:sz w:val="28"/>
          <w:szCs w:val="28"/>
        </w:rPr>
        <w:t>]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1. Анализ мочи и мочевого осадка: 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эритроциты в моче могут указывать на гломерулонефрит, лейкоциты − на инфекции или интерстициальный нефрит.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2. Отношение микроальбумин/креатинин у больных сахарным диабетом  (или отношение белок в моче/креатинин в моче, если есть явная протеинурия по тест-полоскам) &gt;</w:t>
      </w:r>
      <w:smartTag w:uri="urn:schemas-microsoft-com:office:smarttags" w:element="metricconverter">
        <w:smartTagPr>
          <w:attr w:name="ProductID" w:val="3,5 г"/>
        </w:smartTagPr>
        <w:r w:rsidRPr="004A22A7">
          <w:rPr>
            <w:rFonts w:ascii="Times New Roman" w:hAnsi="Times New Roman" w:cs="Times New Roman"/>
            <w:sz w:val="28"/>
            <w:szCs w:val="28"/>
          </w:rPr>
          <w:t>3,5 г</w:t>
        </w:r>
      </w:smartTag>
      <w:r w:rsidRPr="004A22A7">
        <w:rPr>
          <w:rFonts w:ascii="Times New Roman" w:hAnsi="Times New Roman" w:cs="Times New Roman"/>
          <w:sz w:val="28"/>
          <w:szCs w:val="28"/>
        </w:rPr>
        <w:t xml:space="preserve"> белка/день указывает на наличие клубочкового заболевания. 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Соотношения белок/креатинин и альбумин/креатинин позволяют точнее оценить экскрецию белка и альбумина с мочой [KDOQI, 2002].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3. Натрий, калий, хлорид, бикарбонат, мочевина крови, креатинин и СКФ, глюкоза, кальций, фосфор, альбумин, общий белок и липидный профиль должны контролироваться у пациентов с ХБП. Если есть нарушения в кальция и фосфора, при СКФ &lt;45 мл/мин/1.73м</w:t>
      </w:r>
      <w:r w:rsidRPr="004A2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sz w:val="28"/>
          <w:szCs w:val="28"/>
        </w:rPr>
        <w:t>, должен быть измерен уровень паращитовидного гормона [KDOQI, 2002].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4. Развернутый анализ крови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 xml:space="preserve"> позволит определить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наличие анемии, ее тяжесть и эффективность лечения. Все пациенты с ХБП должны измерять гемоглобин минимум раз в год [KDOQI, 2002].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lastRenderedPageBreak/>
        <w:t>5. Дополнительные тесты, которые позволят  провести дифференциальный диагноз ХБП или выявить осложнения у данного пациента −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уровень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альбумина: гипоальбуминемия может быть обусловлена нефротическим синдромом, а также маркером воспаления и недоедания; низкий уровень альбумина в начале диализа является прогностическим фактором повышенного риска смертности [KDOQI, 2002].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6. Все взрослые с ХБП должны быть обследованы на дислипидемию с полной липидограммой натощак [KDOQI, 2002].</w:t>
      </w:r>
    </w:p>
    <w:p w:rsidR="00DF3D9B" w:rsidRPr="004A22A7" w:rsidRDefault="00DF3D9B" w:rsidP="00A566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b/>
          <w:sz w:val="28"/>
          <w:szCs w:val="28"/>
        </w:rPr>
        <w:t>Другие исследования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Тестирование на ВИЧ, гепатит В и</w:t>
      </w:r>
      <w:r w:rsidRPr="004A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 xml:space="preserve">С, АТ к двухспиральной  ДНК), антинейтрофильные цитоплазматические антитела, антитела  к базальной мембране, электрофорез сыворотки белка и белка в моче и определение свободных легких цепей сыворотки − для постановки диагноза или мониторинга течения заболевания и ответа на терапию. Однако эти тесты не нужны у всех пациентов с ХБП. </w:t>
      </w:r>
    </w:p>
    <w:p w:rsidR="00DF3D9B" w:rsidRPr="004A22A7" w:rsidRDefault="00DF3D9B" w:rsidP="00A56632">
      <w:pPr>
        <w:pStyle w:val="4"/>
        <w:spacing w:line="240" w:lineRule="auto"/>
        <w:jc w:val="center"/>
      </w:pPr>
    </w:p>
    <w:p w:rsidR="00DF3D9B" w:rsidRPr="004A22A7" w:rsidRDefault="00DF3D9B" w:rsidP="00A56632">
      <w:pPr>
        <w:pStyle w:val="2"/>
      </w:pPr>
      <w:bookmarkStart w:id="10" w:name="_Toc26393182"/>
      <w:r w:rsidRPr="004A22A7">
        <w:t>Принципы терапии в амбулаторных условиях</w:t>
      </w:r>
      <w:bookmarkEnd w:id="10"/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11" w:name="1000049430"/>
      <w:bookmarkStart w:id="12" w:name="1000049435"/>
      <w:bookmarkStart w:id="13" w:name="1000049436"/>
      <w:bookmarkStart w:id="14" w:name="1000049437"/>
      <w:bookmarkStart w:id="15" w:name="1000049438"/>
      <w:bookmarkStart w:id="16" w:name="1000049441"/>
      <w:bookmarkStart w:id="17" w:name="1000049442"/>
      <w:bookmarkStart w:id="18" w:name="1000049443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Высо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кая распространенность, смертность и необходимость применения доро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гостоящих методов заместительной терапии на терминальной стадии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ХБП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− ди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ализа и пересадки почки,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ставят вопрос о разработке и применении эффективных и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доступных методов профилактики, позволяющих замедлить прогрессирование хронических заболеваний почек, снизить риск развития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осложнений и затрат на лечение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[Мухин Н.А. и соавт., 2004; Шилов Е.М. и соавт.,2012; Смирнов А.В. и соавт., 2004;  МсС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е1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ll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. и соавт., 2003].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ХБП является независимым фактором риска сердечно-сосудистых заболеваний, а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 xml:space="preserve"> сердечно-сосудистые заболевания являются фактором риска прогрессирования ХБП [</w:t>
      </w:r>
      <w:hyperlink r:id="rId23" w:anchor="r31-7" w:history="1">
        <w:r w:rsidRPr="004A22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20,21</w:t>
        </w:r>
      </w:hyperlink>
      <w:r w:rsidRPr="004A22A7">
        <w:rPr>
          <w:sz w:val="28"/>
          <w:szCs w:val="28"/>
          <w:bdr w:val="none" w:sz="0" w:space="0" w:color="auto" w:frame="1"/>
        </w:rPr>
        <w:t>].</w:t>
      </w: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 xml:space="preserve"> 1A</w:t>
      </w:r>
      <w:bookmarkStart w:id="19" w:name="1000049439"/>
      <w:bookmarkStart w:id="20" w:name="1000049440"/>
      <w:bookmarkEnd w:id="19"/>
      <w:bookmarkEnd w:id="20"/>
      <w:r w:rsidRPr="004A22A7">
        <w:rPr>
          <w:sz w:val="28"/>
          <w:szCs w:val="28"/>
          <w:bdr w:val="none" w:sz="0" w:space="0" w:color="auto" w:frame="1"/>
        </w:rPr>
        <w:t xml:space="preserve">  </w:t>
      </w:r>
      <w:r w:rsidRPr="004A22A7">
        <w:rPr>
          <w:sz w:val="28"/>
          <w:szCs w:val="28"/>
          <w:shd w:val="clear" w:color="auto" w:fill="FCFCFC"/>
        </w:rPr>
        <w:t>Неконтролируемая АГ увеличивает риск сердечно-сосудистой заболеваемости и смертности и приводит к более быстрому прогрессированию ХБП. Лечение АГ у больных  ХБП</w:t>
      </w:r>
      <w:r w:rsidRPr="004A22A7">
        <w:rPr>
          <w:sz w:val="28"/>
          <w:szCs w:val="28"/>
        </w:rPr>
        <w:t xml:space="preserve"> </w:t>
      </w:r>
      <w:r w:rsidRPr="004A22A7">
        <w:rPr>
          <w:sz w:val="28"/>
          <w:szCs w:val="28"/>
          <w:shd w:val="clear" w:color="auto" w:fill="FCFCFC"/>
        </w:rPr>
        <w:t>антигипертензивными препаратами имеет две цели: снижение риска сердечно-сосудистой</w:t>
      </w:r>
      <w:r w:rsidRPr="004A22A7">
        <w:rPr>
          <w:sz w:val="28"/>
          <w:szCs w:val="28"/>
        </w:rPr>
        <w:t xml:space="preserve"> </w:t>
      </w:r>
      <w:r w:rsidRPr="004A22A7">
        <w:rPr>
          <w:sz w:val="28"/>
          <w:szCs w:val="28"/>
          <w:shd w:val="clear" w:color="auto" w:fill="FCFCFC"/>
        </w:rPr>
        <w:t xml:space="preserve">смертности и прогрессирующей потери функции почек. </w:t>
      </w:r>
    </w:p>
    <w:p w:rsidR="00DF3D9B" w:rsidRPr="004A22A7" w:rsidRDefault="00DF3D9B" w:rsidP="00A5663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Принципы нефропротекции: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1. Контроль АГ.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2. Использование ИАПФ или БРА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3. Ограничение употребления белка с пищей.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4. Контроль гипергликемии у больных сахарным диабетом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 достижением целевого гликозилированного гемоглобина </w:t>
      </w:r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уровня 7%)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5. Избегать приема нефротоксичных препаратов и осуществлять коррекцию доз препаратов.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6. Прекращение курения.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7. Контроль дислипидемии.</w:t>
      </w:r>
    </w:p>
    <w:p w:rsidR="00DF3D9B" w:rsidRPr="004A22A7" w:rsidRDefault="00DF3D9B" w:rsidP="00A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Нефармакологические методы</w:t>
      </w:r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Рекомендации пациентам с ХБП с АГ по изменению образа жизни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[</w:t>
      </w:r>
      <w:hyperlink r:id="rId24" w:anchor="r27-7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22</w:t>
        </w:r>
      </w:hyperlink>
      <w:r w:rsidRPr="004A22A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-2</w:t>
      </w:r>
      <w:hyperlink r:id="rId25" w:anchor="r27-7" w:history="1">
        <w:r w:rsidRPr="004A22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</w:t>
        </w:r>
      </w:hyperlink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поддержание нормальной массы тела (индекс массы тела от 18,5 до 24,9 кг/м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), сокращение потребления поваренной соли  </w:t>
      </w:r>
      <w:r w:rsidRPr="004A22A7"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&lt; 6,0 г/сут,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регулярные аэробные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физические упражнения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30 минут 5 раз в неделю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, отказ от курения и ограничение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потребление алкоголя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В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Основываясь на данных РКИ (таблица 2), в настоящее время рекомендуется целевое АД&lt;140/90 мм.рт.ст. у больных с ХБП, как с диабетом, так и без диабета. Доказательства для поддержания более низкого САД (&lt;</w:t>
      </w:r>
      <w:smartTag w:uri="urn:schemas-microsoft-com:office:smarttags" w:element="metricconverter">
        <w:smartTagPr>
          <w:attr w:name="ProductID" w:val="130 мм"/>
        </w:smartTagPr>
        <w:r w:rsidRPr="004A22A7">
          <w:rPr>
            <w:rFonts w:ascii="Times New Roman" w:hAnsi="Times New Roman" w:cs="Times New Roman"/>
            <w:sz w:val="28"/>
            <w:szCs w:val="28"/>
            <w:shd w:val="clear" w:color="auto" w:fill="FCFCFC"/>
          </w:rPr>
          <w:t>130 мм</w:t>
        </w:r>
      </w:smartTag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рт. ст) </w:t>
      </w:r>
      <w:r w:rsidRPr="004A22A7">
        <w:rPr>
          <w:rFonts w:ascii="Times New Roman" w:hAnsi="Times New Roman" w:cs="Times New Roman"/>
          <w:sz w:val="28"/>
          <w:szCs w:val="28"/>
        </w:rPr>
        <w:t>может быть целесообразным у пациентов с ПУ&gt;1 г/сут (</w:t>
      </w:r>
      <w:r w:rsidRPr="004A22A7">
        <w:rPr>
          <w:rFonts w:ascii="Times New Roman" w:hAnsi="Times New Roman" w:cs="Times New Roman"/>
          <w:b/>
          <w:sz w:val="28"/>
          <w:szCs w:val="28"/>
        </w:rPr>
        <w:t>IIb, В).</w:t>
      </w:r>
    </w:p>
    <w:p w:rsidR="004A22A7" w:rsidRPr="004A22A7" w:rsidRDefault="00DF3D9B" w:rsidP="00A56632">
      <w:pPr>
        <w:spacing w:after="0" w:line="240" w:lineRule="auto"/>
        <w:ind w:firstLine="357"/>
        <w:jc w:val="right"/>
        <w:rPr>
          <w:rStyle w:val="40"/>
          <w:b w:val="0"/>
          <w:bCs w:val="0"/>
          <w:color w:val="222222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</w:rPr>
        <w:t>Таблица 2</w:t>
      </w:r>
    </w:p>
    <w:p w:rsidR="00DF3D9B" w:rsidRPr="004A22A7" w:rsidRDefault="00DF3D9B" w:rsidP="00A56632">
      <w:pPr>
        <w:pStyle w:val="2"/>
      </w:pPr>
      <w:bookmarkStart w:id="21" w:name="_Toc26393183"/>
      <w:r w:rsidRPr="004A22A7">
        <w:rPr>
          <w:rStyle w:val="40"/>
        </w:rPr>
        <w:t>Тактика лечения больных АГ с нефропатией</w:t>
      </w:r>
      <w:r w:rsidRPr="004A22A7">
        <w:rPr>
          <w:color w:val="222222"/>
        </w:rPr>
        <w:br/>
      </w:r>
      <w:r w:rsidRPr="004A22A7">
        <w:t xml:space="preserve"> (ЕОАГ, ЕОК, 2013)</w:t>
      </w:r>
      <w:bookmarkEnd w:id="21"/>
    </w:p>
    <w:tbl>
      <w:tblPr>
        <w:tblW w:w="98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8"/>
        <w:gridCol w:w="1418"/>
        <w:gridCol w:w="1559"/>
      </w:tblGrid>
      <w:tr w:rsidR="00DF3D9B" w:rsidRPr="004A22A7" w:rsidTr="00E4532C">
        <w:trPr>
          <w:trHeight w:val="50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F3D9B" w:rsidRPr="004A22A7" w:rsidTr="00E4532C">
        <w:trPr>
          <w:trHeight w:val="50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Целесообразно снижать САД до уровня &lt;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4A22A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140 мм</w:t>
              </w:r>
            </w:smartTag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рт.ст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F3D9B" w:rsidRPr="004A22A7" w:rsidTr="00E4532C">
        <w:trPr>
          <w:trHeight w:val="103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наличии протеинурии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целесообразным </w:t>
            </w: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САД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до уровня </w:t>
            </w: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менее &lt;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4A22A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130</w:t>
              </w:r>
              <w:r w:rsidRPr="004A22A7">
                <w:rPr>
                  <w:rFonts w:ascii="Times New Roman" w:hAnsi="Times New Roman" w:cs="Times New Roman"/>
                  <w:sz w:val="28"/>
                  <w:szCs w:val="28"/>
                </w:rPr>
                <w:t xml:space="preserve"> мм</w:t>
              </w:r>
            </w:smartTag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рт.ст.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F3D9B" w:rsidRPr="004A22A7" w:rsidTr="00E4532C">
        <w:trPr>
          <w:trHeight w:val="110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РАС/ИАПФ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более эффективно уменьшают альбуминурию, чем другие антигипертензивные препараты, и показаны больным АГ с МАУ или ПУ.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1083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целевого АД обычно требует комбинированной терапии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РАС с другими антигипертензивными препаратами.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1057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Хотя комбинация двух блокаторов РАС более эффективно уменьшает ПУ, использовать ее не рекомендуется.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138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 ХБП нельзя рекомендовать антагонисты альдостерона, особенно в комбинации с блокатором РАС, в связи с риском резкого ухудшения функции почек и гиперкалиемии.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DF3D9B" w:rsidRPr="004A22A7" w:rsidRDefault="00DF3D9B" w:rsidP="00A5663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F3D9B" w:rsidRPr="004A22A7" w:rsidRDefault="00DF3D9B" w:rsidP="00A566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РЕКОМЕНДАЦИИ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1. АД необходимо тщательно контролировать у всех пациентов с ХБП и проверять во время каждого визита. </w:t>
      </w:r>
      <w:r w:rsidRPr="004A22A7">
        <w:rPr>
          <w:rFonts w:ascii="Times New Roman" w:hAnsi="Times New Roman" w:cs="Times New Roman"/>
          <w:sz w:val="28"/>
          <w:szCs w:val="28"/>
        </w:rPr>
        <w:t>[</w:t>
      </w:r>
      <w:r w:rsidRPr="004A22A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1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]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2. Лечение АГ при ХБП должно включать достижение целевого уровня АД, терапию нефармакологическими и определенными антигипертензивными средствами для профилактики прогрессирования заболевания почек или развития сердечно-сосудистых заболеваний.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3. Антигипертензивная терапия  (Рекомендации ЕАГ и ЕАК, </w:t>
      </w:r>
      <w:smartTag w:uri="urn:schemas-microsoft-com:office:smarttags" w:element="metricconverter">
        <w:smartTagPr>
          <w:attr w:name="ProductID" w:val="2013 г"/>
        </w:smartTagPr>
        <w:r w:rsidRPr="004A22A7">
          <w:rPr>
            <w:rFonts w:ascii="Times New Roman" w:hAnsi="Times New Roman" w:cs="Times New Roman"/>
            <w:sz w:val="28"/>
            <w:szCs w:val="28"/>
            <w:shd w:val="clear" w:color="auto" w:fill="FCFCFC"/>
          </w:rPr>
          <w:t>2013 г</w:t>
        </w:r>
      </w:smartTag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.): должна быть отрегулирована для достижения целевого АД:  </w:t>
      </w:r>
      <w:r w:rsidRPr="004A22A7">
        <w:rPr>
          <w:rFonts w:ascii="Times New Roman" w:hAnsi="Times New Roman" w:cs="Times New Roman"/>
          <w:sz w:val="28"/>
          <w:szCs w:val="28"/>
        </w:rPr>
        <w:t>САД &lt;</w:t>
      </w:r>
      <w:smartTag w:uri="urn:schemas-microsoft-com:office:smarttags" w:element="metricconverter">
        <w:smartTagPr>
          <w:attr w:name="ProductID" w:val="140 мм"/>
        </w:smartTagPr>
        <w:r w:rsidRPr="004A22A7">
          <w:rPr>
            <w:rFonts w:ascii="Times New Roman" w:hAnsi="Times New Roman" w:cs="Times New Roman"/>
            <w:sz w:val="28"/>
            <w:szCs w:val="28"/>
          </w:rPr>
          <w:t>140 мм</w:t>
        </w:r>
      </w:smartTag>
      <w:r w:rsidRPr="004A22A7">
        <w:rPr>
          <w:rFonts w:ascii="Times New Roman" w:hAnsi="Times New Roman" w:cs="Times New Roman"/>
          <w:sz w:val="28"/>
          <w:szCs w:val="28"/>
        </w:rPr>
        <w:t xml:space="preserve"> рт. ст., ДАД &lt; </w:t>
      </w:r>
      <w:smartTag w:uri="urn:schemas-microsoft-com:office:smarttags" w:element="metricconverter">
        <w:smartTagPr>
          <w:attr w:name="ProductID" w:val="90 мм"/>
        </w:smartTagPr>
        <w:r w:rsidRPr="004A22A7">
          <w:rPr>
            <w:rFonts w:ascii="Times New Roman" w:hAnsi="Times New Roman" w:cs="Times New Roman"/>
            <w:sz w:val="28"/>
            <w:szCs w:val="28"/>
          </w:rPr>
          <w:t>90 мм</w:t>
        </w:r>
      </w:smartTag>
      <w:r w:rsidRPr="004A22A7">
        <w:rPr>
          <w:rFonts w:ascii="Times New Roman" w:hAnsi="Times New Roman" w:cs="Times New Roman"/>
          <w:sz w:val="28"/>
          <w:szCs w:val="28"/>
        </w:rPr>
        <w:t xml:space="preserve"> рт.ст. у больных ХБП 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2A7">
        <w:rPr>
          <w:rFonts w:ascii="Times New Roman" w:hAnsi="Times New Roman" w:cs="Times New Roman"/>
          <w:sz w:val="28"/>
          <w:szCs w:val="28"/>
        </w:rPr>
        <w:t>) с низким и средним серд-сосуд риском 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2A7">
        <w:rPr>
          <w:rFonts w:ascii="Times New Roman" w:hAnsi="Times New Roman" w:cs="Times New Roman"/>
          <w:b/>
          <w:sz w:val="28"/>
          <w:szCs w:val="28"/>
        </w:rPr>
        <w:t>,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A22A7">
        <w:rPr>
          <w:rFonts w:ascii="Times New Roman" w:hAnsi="Times New Roman" w:cs="Times New Roman"/>
          <w:sz w:val="28"/>
          <w:szCs w:val="28"/>
        </w:rPr>
        <w:t>); б) с диабетом 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2A7">
        <w:rPr>
          <w:rFonts w:ascii="Times New Roman" w:hAnsi="Times New Roman" w:cs="Times New Roman"/>
          <w:b/>
          <w:sz w:val="28"/>
          <w:szCs w:val="28"/>
        </w:rPr>
        <w:t>,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A22A7">
        <w:rPr>
          <w:rFonts w:ascii="Times New Roman" w:hAnsi="Times New Roman" w:cs="Times New Roman"/>
          <w:sz w:val="28"/>
          <w:szCs w:val="28"/>
        </w:rPr>
        <w:t>); в) перенесших инсульт или ТИА  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IIa</w:t>
      </w:r>
      <w:r w:rsidRPr="004A22A7">
        <w:rPr>
          <w:rFonts w:ascii="Times New Roman" w:hAnsi="Times New Roman" w:cs="Times New Roman"/>
          <w:b/>
          <w:sz w:val="28"/>
          <w:szCs w:val="28"/>
        </w:rPr>
        <w:t>,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A22A7">
        <w:rPr>
          <w:rFonts w:ascii="Times New Roman" w:hAnsi="Times New Roman" w:cs="Times New Roman"/>
          <w:sz w:val="28"/>
          <w:szCs w:val="28"/>
        </w:rPr>
        <w:t>); д) диабетической и недиабетической  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2A7">
        <w:rPr>
          <w:rFonts w:ascii="Times New Roman" w:hAnsi="Times New Roman" w:cs="Times New Roman"/>
          <w:b/>
          <w:sz w:val="28"/>
          <w:szCs w:val="28"/>
        </w:rPr>
        <w:t>,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A22A7">
        <w:rPr>
          <w:rFonts w:ascii="Times New Roman" w:hAnsi="Times New Roman" w:cs="Times New Roman"/>
          <w:sz w:val="28"/>
          <w:szCs w:val="28"/>
        </w:rPr>
        <w:t>).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4.  Лечение ишемической болезни сердца у пациентов с ХБП не должно ухудшать течение ХБП.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>(</w:t>
      </w:r>
      <w:r w:rsidRPr="004A22A7">
        <w:rPr>
          <w:rStyle w:val="a7"/>
          <w:b/>
          <w:i w:val="0"/>
          <w:sz w:val="28"/>
          <w:szCs w:val="28"/>
          <w:bdr w:val="none" w:sz="0" w:space="0" w:color="auto" w:frame="1"/>
        </w:rPr>
        <w:t>1,A</w:t>
      </w: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>)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 xml:space="preserve">5. При лечении других сердечно-сосудистых заболеваний у пациентов с ХБП следует использовать рекомендации ЕАГ и ЕАК, </w:t>
      </w:r>
      <w:smartTag w:uri="urn:schemas-microsoft-com:office:smarttags" w:element="metricconverter">
        <w:smartTagPr>
          <w:attr w:name="ProductID" w:val="2013 г"/>
        </w:smartTagPr>
        <w:r w:rsidRPr="004A22A7">
          <w:rPr>
            <w:rStyle w:val="a7"/>
            <w:i w:val="0"/>
            <w:sz w:val="28"/>
            <w:szCs w:val="28"/>
            <w:bdr w:val="none" w:sz="0" w:space="0" w:color="auto" w:frame="1"/>
          </w:rPr>
          <w:t>2013 г</w:t>
        </w:r>
      </w:smartTag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>. (таблица 3)</w:t>
      </w:r>
      <w:r w:rsidRPr="004A22A7">
        <w:rPr>
          <w:rStyle w:val="a5"/>
          <w:sz w:val="28"/>
          <w:szCs w:val="28"/>
          <w:bdr w:val="none" w:sz="0" w:space="0" w:color="auto" w:frame="1"/>
        </w:rPr>
        <w:t xml:space="preserve">. 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A22A7">
        <w:rPr>
          <w:rStyle w:val="a5"/>
          <w:sz w:val="28"/>
          <w:szCs w:val="28"/>
          <w:bdr w:val="none" w:sz="0" w:space="0" w:color="auto" w:frame="1"/>
        </w:rPr>
        <w:t>6.</w:t>
      </w:r>
      <w:r w:rsidRPr="004A22A7">
        <w:rPr>
          <w:sz w:val="28"/>
          <w:szCs w:val="28"/>
        </w:rPr>
        <w:t xml:space="preserve"> </w:t>
      </w:r>
      <w:r w:rsidRPr="004A22A7">
        <w:rPr>
          <w:rStyle w:val="a5"/>
          <w:sz w:val="28"/>
          <w:szCs w:val="28"/>
          <w:bdr w:val="none" w:sz="0" w:space="0" w:color="auto" w:frame="1"/>
        </w:rPr>
        <w:t>Возрастные показатели для принятия решения об антигипертензивной терапии значения не имеют.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right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A22A7">
        <w:rPr>
          <w:rStyle w:val="a5"/>
          <w:sz w:val="28"/>
          <w:szCs w:val="28"/>
          <w:bdr w:val="none" w:sz="0" w:space="0" w:color="auto" w:frame="1"/>
        </w:rPr>
        <w:t>Таблица 3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5"/>
          <w:b/>
          <w:sz w:val="28"/>
          <w:szCs w:val="28"/>
          <w:bdr w:val="none" w:sz="0" w:space="0" w:color="auto" w:frame="1"/>
        </w:rPr>
      </w:pPr>
      <w:bookmarkStart w:id="22" w:name="_Toc26393184"/>
      <w:r w:rsidRPr="004A22A7">
        <w:rPr>
          <w:rStyle w:val="20"/>
          <w:rFonts w:eastAsia="Batang"/>
          <w:sz w:val="32"/>
        </w:rPr>
        <w:t>Терапевтические стратегии у больных сердечно-сосудистыми заболеваниями и ХБП</w:t>
      </w:r>
      <w:bookmarkEnd w:id="22"/>
      <w:r w:rsidRPr="004A22A7">
        <w:rPr>
          <w:rStyle w:val="a5"/>
          <w:b/>
          <w:szCs w:val="28"/>
          <w:bdr w:val="none" w:sz="0" w:space="0" w:color="auto" w:frame="1"/>
        </w:rPr>
        <w:t xml:space="preserve">  </w:t>
      </w:r>
      <w:r w:rsidRPr="004A22A7">
        <w:rPr>
          <w:rStyle w:val="a5"/>
          <w:sz w:val="28"/>
          <w:szCs w:val="28"/>
          <w:bdr w:val="none" w:sz="0" w:space="0" w:color="auto" w:frame="1"/>
        </w:rPr>
        <w:t>(ЕОАГ, ЕОК, 2013)</w:t>
      </w:r>
    </w:p>
    <w:tbl>
      <w:tblPr>
        <w:tblW w:w="98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8"/>
        <w:gridCol w:w="1418"/>
        <w:gridCol w:w="1559"/>
      </w:tblGrid>
      <w:tr w:rsidR="00DF3D9B" w:rsidRPr="004A22A7" w:rsidTr="00E4532C">
        <w:trPr>
          <w:trHeight w:val="50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Рекомендации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Уровень</w:t>
            </w:r>
          </w:p>
        </w:tc>
      </w:tr>
      <w:tr w:rsidR="00DF3D9B" w:rsidRPr="004A22A7" w:rsidTr="00E4532C">
        <w:trPr>
          <w:trHeight w:val="505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Пациентов с ХБП следует относить к группе высокого риска ССЗ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632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При лечении ИБС у больных ХБП следует исходить из существующих рекомендаций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671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Антитромботическая терапия может назначаться больным ХБП с высоким риском ССО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F3D9B" w:rsidRPr="004A22A7" w:rsidTr="00E4532C">
        <w:trPr>
          <w:trHeight w:val="684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Лечение СН при ХБП следует проводить в том же объеме, что и у пациентов без ХБП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F3D9B" w:rsidRPr="004A22A7" w:rsidTr="00E4532C">
        <w:trPr>
          <w:trHeight w:val="662"/>
        </w:trPr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При болях в грудной клетке больные ХБП должны обследоваться также, как и без ХБП.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                                   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Фармакологические методы: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shd w:val="clear" w:color="auto" w:fill="FCFCFC"/>
        </w:rPr>
      </w:pPr>
      <w:r w:rsidRPr="004A22A7">
        <w:rPr>
          <w:sz w:val="28"/>
          <w:szCs w:val="28"/>
          <w:shd w:val="clear" w:color="auto" w:fill="FCFCFC"/>
        </w:rPr>
        <w:t xml:space="preserve">1. ИАПФ или БРА II являются предпочтительными для больных с заболеваниями почек с АГ </w:t>
      </w:r>
      <w:r w:rsidRPr="004A22A7">
        <w:rPr>
          <w:sz w:val="28"/>
          <w:szCs w:val="28"/>
        </w:rPr>
        <w:t>(</w:t>
      </w:r>
      <w:r w:rsidRPr="004A22A7">
        <w:rPr>
          <w:b/>
          <w:sz w:val="28"/>
          <w:szCs w:val="28"/>
        </w:rPr>
        <w:t>А</w:t>
      </w:r>
      <w:r w:rsidRPr="004A22A7">
        <w:rPr>
          <w:sz w:val="28"/>
          <w:szCs w:val="28"/>
        </w:rPr>
        <w:t>).</w:t>
      </w:r>
      <w:r w:rsidRPr="004A22A7">
        <w:rPr>
          <w:sz w:val="28"/>
          <w:szCs w:val="28"/>
          <w:bdr w:val="none" w:sz="0" w:space="0" w:color="auto" w:frame="1"/>
        </w:rPr>
        <w:t xml:space="preserve"> Применение этих препаратов уменьшает риск удвоения креатинина сыворотки и переход от микроальбуминурии к макроальбуминурии.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>Клинические испытания не выявили разницы в результатах при применении  ингибиторов АПФ или БРА.</w:t>
      </w:r>
      <w:r w:rsidRPr="004A22A7">
        <w:rPr>
          <w:sz w:val="28"/>
          <w:szCs w:val="28"/>
          <w:shd w:val="clear" w:color="auto" w:fill="FCFCFC"/>
        </w:rPr>
        <w:t xml:space="preserve"> ИАПФ или БРА</w:t>
      </w:r>
      <w:r w:rsidRPr="004A22A7">
        <w:rPr>
          <w:sz w:val="28"/>
          <w:szCs w:val="28"/>
        </w:rPr>
        <w:t xml:space="preserve"> </w:t>
      </w:r>
      <w:r w:rsidRPr="004A22A7">
        <w:rPr>
          <w:sz w:val="28"/>
          <w:szCs w:val="28"/>
          <w:shd w:val="clear" w:color="auto" w:fill="FCFCFC"/>
        </w:rPr>
        <w:t>замедляют прогрессирование заболевания почек</w:t>
      </w:r>
      <w:r w:rsidRPr="004A22A7">
        <w:rPr>
          <w:sz w:val="28"/>
          <w:szCs w:val="28"/>
        </w:rPr>
        <w:t xml:space="preserve"> </w:t>
      </w:r>
      <w:r w:rsidRPr="004A22A7">
        <w:rPr>
          <w:sz w:val="28"/>
          <w:szCs w:val="28"/>
          <w:shd w:val="clear" w:color="auto" w:fill="FCFCFC"/>
        </w:rPr>
        <w:t>независимо от их влияния на АД.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shd w:val="clear" w:color="auto" w:fill="FCFCFC"/>
        </w:rPr>
        <w:t>Увеличение сывороточного креатинина на 30 % выше исходного после назначения ИАПФ или БРА можно допустить. Отмены ИАПФ или БРА II из-за этого не должно быть, так как препараты обладают свойством ренопротекции.</w:t>
      </w:r>
      <w:bookmarkStart w:id="23" w:name="1000049433"/>
      <w:bookmarkStart w:id="24" w:name="1000049434"/>
      <w:bookmarkEnd w:id="23"/>
      <w:bookmarkEnd w:id="24"/>
      <w:r w:rsidRPr="004A22A7">
        <w:rPr>
          <w:sz w:val="28"/>
          <w:szCs w:val="28"/>
          <w:shd w:val="clear" w:color="auto" w:fill="FCFCFC"/>
        </w:rPr>
        <w:t xml:space="preserve"> ИАПФ уменьшают ПУ, т.е., обладают ренопротективным эффектом. Уменьшение ПУ при лечении ИАПФ более значительное при любом уровне АД, чем при лечении другими гипотензивныеми препаратами.</w:t>
      </w:r>
      <w:r w:rsidRPr="004A22A7">
        <w:rPr>
          <w:sz w:val="28"/>
          <w:szCs w:val="28"/>
          <w:bdr w:val="none" w:sz="0" w:space="0" w:color="auto" w:frame="1"/>
        </w:rPr>
        <w:t xml:space="preserve">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2. Многие пациенты нуждаются в двух или более препаратов, т.е., комбинированной гипотензивной терапии, для достижения целевого АД.. Выбор второго препарата определяется показаниями со стороны сердечно-сосудистой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системы и зависит от сопутствующих заболеваний. Так, например, мочегонное средство (не калийсберегающее) может быть предпочтительным при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гиперкалиемии, причем тиазидные диуретики могут быть использованы, если СКФ &gt; 30 мл/мин/1.73м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  <w:vertAlign w:val="superscript"/>
        </w:rPr>
        <w:t>2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а петлевые  диуретики обычно назначаются пациентам с более  низким рСКФ. Калийсберегающие диуретики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следует применять с осторожностью у пациентов с ХБП.</w:t>
      </w:r>
    </w:p>
    <w:p w:rsidR="00DF3D9B" w:rsidRPr="004A22A7" w:rsidRDefault="00DF3D9B" w:rsidP="00A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РЕКОМЕНДАЦИИ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1.У взрослых  пациентов с ХБП с диабетом и без диабета, с мочевой экскрецией альбумина &lt;30 мг/24 часов (или эквивалентом), рекомендовано назначение  антигипертензивных  препаратов для поддержания АД  &lt;140/&lt;</w:t>
      </w:r>
      <w:smartTag w:uri="urn:schemas-microsoft-com:office:smarttags" w:element="metricconverter">
        <w:smartTagPr>
          <w:attr w:name="ProductID" w:val="90 мм"/>
        </w:smartTagPr>
        <w:r w:rsidRPr="004A22A7">
          <w:rPr>
            <w:sz w:val="28"/>
            <w:szCs w:val="28"/>
            <w:bdr w:val="none" w:sz="0" w:space="0" w:color="auto" w:frame="1"/>
          </w:rPr>
          <w:t>90 мм</w:t>
        </w:r>
      </w:smartTag>
      <w:r w:rsidRPr="004A22A7">
        <w:rPr>
          <w:sz w:val="28"/>
          <w:szCs w:val="28"/>
          <w:bdr w:val="none" w:sz="0" w:space="0" w:color="auto" w:frame="1"/>
        </w:rPr>
        <w:t xml:space="preserve"> рт.ст.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>(</w:t>
      </w:r>
      <w:r w:rsidRPr="004A22A7">
        <w:rPr>
          <w:rStyle w:val="a7"/>
          <w:b/>
          <w:i w:val="0"/>
          <w:sz w:val="28"/>
          <w:szCs w:val="28"/>
          <w:bdr w:val="none" w:sz="0" w:space="0" w:color="auto" w:frame="1"/>
        </w:rPr>
        <w:t>1,В</w:t>
      </w:r>
      <w:r w:rsidRPr="004A22A7">
        <w:rPr>
          <w:rStyle w:val="a7"/>
          <w:i w:val="0"/>
          <w:sz w:val="28"/>
          <w:szCs w:val="28"/>
          <w:bdr w:val="none" w:sz="0" w:space="0" w:color="auto" w:frame="1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bookmarkStart w:id="25" w:name="1000049431"/>
      <w:bookmarkStart w:id="26" w:name="1000049432"/>
      <w:bookmarkEnd w:id="25"/>
      <w:bookmarkEnd w:id="26"/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У взрослых с диабетом и без диабета с ХБП и мочевой экскрецией альбумина ≥ 30 мг/24 часов (или эквивалентом) лечить антигипертензивными препаратами для поддержания целевого АД  ≤ </w:t>
      </w:r>
      <w:smartTag w:uri="urn:schemas-microsoft-com:office:smarttags" w:element="metricconverter">
        <w:smartTagPr>
          <w:attr w:name="ProductID" w:val="130 мм"/>
        </w:smartTagPr>
        <w:r w:rsidRPr="004A22A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130 мм</w:t>
        </w:r>
      </w:smartTag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рт.ст./≤80 мм рт.ст</w:t>
      </w:r>
      <w:r w:rsidRPr="004A22A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.. </w:t>
      </w:r>
      <w:r w:rsidRPr="004A22A7">
        <w:rPr>
          <w:rStyle w:val="a7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(</w:t>
      </w:r>
      <w:r w:rsidRPr="004A22A7">
        <w:rPr>
          <w:rStyle w:val="a7"/>
          <w:rFonts w:ascii="Times New Roman" w:eastAsiaTheme="majorEastAsia" w:hAnsi="Times New Roman" w:cs="Times New Roman"/>
          <w:b/>
          <w:i w:val="0"/>
          <w:sz w:val="28"/>
          <w:szCs w:val="28"/>
          <w:bdr w:val="none" w:sz="0" w:space="0" w:color="auto" w:frame="1"/>
        </w:rPr>
        <w:t>2,D</w:t>
      </w:r>
      <w:r w:rsidRPr="004A22A7">
        <w:rPr>
          <w:rStyle w:val="a7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3. Пациентам с ХБП с АГ без диабета или с диабетом с МАУ должны быть назначены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ИАПФ или БРА для замедления прогрессирования заболевания почек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А</w:t>
      </w:r>
      <w:r w:rsidRPr="004A22A7">
        <w:rPr>
          <w:rFonts w:ascii="Times New Roman" w:hAnsi="Times New Roman" w:cs="Times New Roman"/>
          <w:sz w:val="28"/>
          <w:szCs w:val="28"/>
        </w:rPr>
        <w:t xml:space="preserve">)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сокращения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протеинурии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А</w:t>
      </w:r>
      <w:r w:rsidRPr="004A22A7">
        <w:rPr>
          <w:rFonts w:ascii="Times New Roman" w:hAnsi="Times New Roman" w:cs="Times New Roman"/>
          <w:sz w:val="28"/>
          <w:szCs w:val="28"/>
        </w:rPr>
        <w:t>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Style w:val="a7"/>
          <w:rFonts w:ascii="Times New Roman" w:eastAsiaTheme="majorEastAsia" w:hAnsi="Times New Roman" w:cs="Times New Roman"/>
          <w:i w:val="0"/>
          <w:iCs w:val="0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5.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БРА или ингибиторы АПФ показаны больным с диабетом и без диабета взрослых с ХБП с мочевой экскрецией альбумина &gt; 300 мг/24 часов (или эквивалентом), </w:t>
      </w:r>
      <w:r w:rsidRPr="004A22A7">
        <w:rPr>
          <w:rStyle w:val="a7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(</w:t>
      </w:r>
      <w:r w:rsidRPr="004A22A7">
        <w:rPr>
          <w:rStyle w:val="a7"/>
          <w:rFonts w:ascii="Times New Roman" w:eastAsiaTheme="majorEastAsia" w:hAnsi="Times New Roman" w:cs="Times New Roman"/>
          <w:b/>
          <w:i w:val="0"/>
          <w:sz w:val="28"/>
          <w:szCs w:val="28"/>
          <w:bdr w:val="none" w:sz="0" w:space="0" w:color="auto" w:frame="1"/>
        </w:rPr>
        <w:t>1,В</w:t>
      </w:r>
      <w:r w:rsidRPr="004A22A7">
        <w:rPr>
          <w:rStyle w:val="a7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6. У пациентов с диабетом и МАУ нужно назначать ИАПФ или БРА для замедления перехода МАУ в макроальбуминурию, которая считается суррогатным показателем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прогрессирования ХСН.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А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7. ИАПФ и БРА − лечение начинают с низких доз и титруют до умеренных и  высоких.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А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8. Уровень креатинина и уровень калия необходимо контролировать 1-2 недели после начала или изменения дозы ИАПФ или БРА и периодически  − для поддержания в нормальном диапазоне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9. Лечение ИАПФ или БРА не следует назначать пациентам с гиперкалиемией (&gt; 5.5)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10. Пациенты с развитием кашля на ИАПФ, должны быть переведены на БРА.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11. У большинства пациентов лечение ИАПФ или БРА может быть осторожно продолжено при: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a) остром снижении СКФ &gt; 30 % в течение первых двух недель после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назначения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В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;  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б) уровне калия сыворотки крови &gt; 6 мг-экв/л, несмотря на соответствующее лечение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В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При ХБП  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  <w:lang w:val="en-US"/>
        </w:rPr>
        <w:t>IV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стадии (СКФ менее 30 мл/мин)  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t>ИАПФ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можно назначать при условии  отсутствия стабильного ухудшения функции почек при их назначении, более предпочтительны препараты с двумя путями выведения 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t>− через печень и почки.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Пациентам с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«высоконормальной» и «высокой»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МЭА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>и от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сутствием АГ следует назначать иАПФ </w:t>
      </w:r>
      <w:r w:rsidRPr="004A22A7">
        <w:rPr>
          <w:rFonts w:ascii="Times New Roman" w:hAnsi="Times New Roman" w:cs="Times New Roman"/>
          <w:iCs/>
          <w:spacing w:val="-4"/>
          <w:sz w:val="28"/>
          <w:szCs w:val="28"/>
        </w:rPr>
        <w:t>или БРА с целью достижения антипротеинурического эффекта.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9. Если ИАП и БРА не переносятся, для снижения протеинурии могут быть назначены  негидропиридиновые  блокаторы кальциевых каналов, как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верапамил или дилтиазем </w:t>
      </w:r>
      <w:r w:rsidRPr="004A22A7">
        <w:rPr>
          <w:rFonts w:ascii="Times New Roman" w:hAnsi="Times New Roman" w:cs="Times New Roman"/>
          <w:sz w:val="28"/>
          <w:szCs w:val="28"/>
        </w:rPr>
        <w:t>(</w:t>
      </w:r>
      <w:r w:rsidRPr="004A22A7">
        <w:rPr>
          <w:rFonts w:ascii="Times New Roman" w:hAnsi="Times New Roman" w:cs="Times New Roman"/>
          <w:b/>
          <w:sz w:val="28"/>
          <w:szCs w:val="28"/>
        </w:rPr>
        <w:t>В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  <w:r w:rsidRPr="004A22A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 качестве препаратов первой линии при моно- или 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t>комбинированной терапии следует назначать ингиби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softHyphen/>
        <w:t xml:space="preserve">торы ангиотензинпревращающего фермента (иАПФ) ―  моноприл, зофеноприл, трандолаприл, рамиприл, лизиноприл, периндоприл, или блокаторы АТ1-рецепторов ангиотензина 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II</w:t>
      </w:r>
      <w:r w:rsidRPr="004A22A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(БРА) ―</w:t>
      </w:r>
      <w:r w:rsidRPr="004A22A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лозартан, олмесартан, телмисартан, валсартан, ирбесартан.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7" w:right="1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pacing w:val="-5"/>
          <w:sz w:val="28"/>
          <w:szCs w:val="28"/>
        </w:rPr>
        <w:t>Эффективная анти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гипертензивная терапия достоверно отдаляет время наступления ТПН, яв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softHyphen/>
        <w:t>ляется важным средством кардиопротекции [Са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sas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J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P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. и соавт., 2005; </w:t>
      </w:r>
      <w:r w:rsidRPr="004A22A7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Ritz</w:t>
      </w:r>
      <w:r w:rsidRPr="004A22A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E</w:t>
      </w:r>
      <w:r w:rsidRPr="004A22A7">
        <w:rPr>
          <w:rFonts w:ascii="Times New Roman" w:hAnsi="Times New Roman" w:cs="Times New Roman"/>
          <w:iCs/>
          <w:spacing w:val="-4"/>
          <w:sz w:val="28"/>
          <w:szCs w:val="28"/>
        </w:rPr>
        <w:t>.,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2010;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Segura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J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Ruilope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L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., 2011]</w:t>
      </w:r>
      <w:r w:rsidRPr="004A22A7">
        <w:rPr>
          <w:rFonts w:ascii="Times New Roman" w:hAnsi="Times New Roman" w:cs="Times New Roman"/>
          <w:sz w:val="28"/>
          <w:szCs w:val="28"/>
        </w:rPr>
        <w:t xml:space="preserve">.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В последние годы 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>была установлена польза более мягкого контро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ля АД − до уровня ниже 130/80 мм рт. ст..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 xml:space="preserve">При протеинурии более 1 г/сут возможно еще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более выраженное снижение АД,  но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с осторожностью:</w:t>
      </w:r>
      <w:r w:rsidRPr="004A22A7">
        <w:rPr>
          <w:rFonts w:ascii="Times New Roman" w:hAnsi="Times New Roman" w:cs="Times New Roman"/>
          <w:sz w:val="28"/>
          <w:szCs w:val="28"/>
        </w:rPr>
        <w:t xml:space="preserve"> доказано  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 xml:space="preserve">негативное влияние </w:t>
      </w:r>
      <w:r w:rsidRPr="004A22A7">
        <w:rPr>
          <w:rFonts w:ascii="Times New Roman" w:hAnsi="Times New Roman" w:cs="Times New Roman"/>
          <w:spacing w:val="-5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 xml:space="preserve">нижения </w:t>
      </w:r>
      <w:r w:rsidRPr="004A22A7"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pacing w:val="-7"/>
          <w:sz w:val="28"/>
          <w:szCs w:val="28"/>
        </w:rPr>
        <w:t xml:space="preserve">АД &lt; </w:t>
      </w:r>
      <w:smartTag w:uri="urn:schemas-microsoft-com:office:smarttags" w:element="metricconverter">
        <w:smartTagPr>
          <w:attr w:name="ProductID" w:val="120 мм"/>
        </w:smartTagPr>
        <w:r w:rsidRPr="004A22A7">
          <w:rPr>
            <w:rFonts w:ascii="Times New Roman" w:hAnsi="Times New Roman" w:cs="Times New Roman"/>
            <w:spacing w:val="-7"/>
            <w:sz w:val="28"/>
            <w:szCs w:val="28"/>
          </w:rPr>
          <w:t>120 мм</w:t>
        </w:r>
      </w:smartTag>
      <w:r w:rsidRPr="004A22A7">
        <w:rPr>
          <w:rFonts w:ascii="Times New Roman" w:hAnsi="Times New Roman" w:cs="Times New Roman"/>
          <w:spacing w:val="-7"/>
          <w:sz w:val="28"/>
          <w:szCs w:val="28"/>
        </w:rPr>
        <w:t xml:space="preserve"> рт. ст. на скорость прогрессирования ХБП, что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объясняется ише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>мическим повреждением почек.  Для риска сердечно-</w:t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сосудистых осложнений при ХБП тоже была показана U-образная зависи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мость от уровня АД − риск повышался при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АД как более 140, так и  менее </w:t>
      </w:r>
      <w:smartTag w:uri="urn:schemas-microsoft-com:office:smarttags" w:element="metricconverter">
        <w:smartTagPr>
          <w:attr w:name="ProductID" w:val="120 мм"/>
        </w:smartTagPr>
        <w:r w:rsidRPr="004A22A7">
          <w:rPr>
            <w:rFonts w:ascii="Times New Roman" w:hAnsi="Times New Roman" w:cs="Times New Roman"/>
            <w:spacing w:val="-4"/>
            <w:sz w:val="28"/>
            <w:szCs w:val="28"/>
          </w:rPr>
          <w:t>120 мм</w:t>
        </w:r>
      </w:smartTag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рт. ст. [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Weiner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D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. и соавт., 2007].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У больных пожило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5"/>
          <w:sz w:val="28"/>
          <w:szCs w:val="28"/>
        </w:rPr>
        <w:t xml:space="preserve">го и старческого возраста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приемлемым уровнем </w:t>
      </w:r>
      <w:r w:rsidRPr="004A22A7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АД следует считать 140-</w:t>
      </w:r>
      <w:smartTag w:uri="urn:schemas-microsoft-com:office:smarttags" w:element="metricconverter">
        <w:smartTagPr>
          <w:attr w:name="ProductID" w:val="160 мм"/>
        </w:smartTagPr>
        <w:r w:rsidRPr="004A22A7">
          <w:rPr>
            <w:rFonts w:ascii="Times New Roman" w:hAnsi="Times New Roman" w:cs="Times New Roman"/>
            <w:spacing w:val="-4"/>
            <w:sz w:val="28"/>
            <w:szCs w:val="28"/>
          </w:rPr>
          <w:t>160 мм</w:t>
        </w:r>
      </w:smartTag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рт. ст.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29" w:right="1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Доказательная база для определения целевого АД у диализных больных 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>и пациентов с трансплантированной почкой ограничена. На се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годняшний день оптимальным  считается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АД &lt; 140-130/90-</w:t>
      </w:r>
      <w:smartTag w:uri="urn:schemas-microsoft-com:office:smarttags" w:element="metricconverter">
        <w:smartTagPr>
          <w:attr w:name="ProductID" w:val="80 мм"/>
        </w:smartTagPr>
        <w:r w:rsidRPr="004A22A7">
          <w:rPr>
            <w:rFonts w:ascii="Times New Roman" w:hAnsi="Times New Roman" w:cs="Times New Roman"/>
            <w:spacing w:val="-4"/>
            <w:sz w:val="28"/>
            <w:szCs w:val="28"/>
          </w:rPr>
          <w:t>80 мм</w:t>
        </w:r>
      </w:smartTag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 рт. ст. Однако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опасность эпизодов гипотонии на фоне антигипертензивной те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softHyphen/>
        <w:t>рапии у таких больных значительно выше, чем на других стадиях ХБП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A22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pacing w:val="-6"/>
          <w:sz w:val="28"/>
          <w:szCs w:val="28"/>
        </w:rPr>
        <w:t>Большинству пациентов с ХБП требуется комбинация нескольких препа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ратов из разных групп, снижающих АД, для достижения его целевого уров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ня. Ингибиторы АПФ и БРА хорошо сочетаются с мочегонными (гипотиазид, индапамид, фурасемид) и антаго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 xml:space="preserve">нистами кальция недигидроперидинового ряда (верапамил, дилтиазем) и препаратами последних поколений дегидроперидинового ряда (амлодипин, лерканидипин). Следует учесть, у что прямого ингибитора ренина (алискирен) в настоящее время нефропротективный эффект  не доказан в клинических исследованиях (не проводились) и он не рекомендован как для  монотерапии, так и для первого выбора при комбинированной терапии.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Некоторые антагонисты </w:t>
      </w:r>
      <w:r w:rsidRPr="004A22A7">
        <w:rPr>
          <w:rFonts w:ascii="Times New Roman" w:hAnsi="Times New Roman" w:cs="Times New Roman"/>
          <w:spacing w:val="-1"/>
          <w:sz w:val="28"/>
          <w:szCs w:val="28"/>
        </w:rPr>
        <w:t>кальция недигидропиридинового ряда оказывают дополнительный ан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>типротеинурический эффект (лерканидипин)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spacing w:val="-5"/>
          <w:sz w:val="28"/>
          <w:szCs w:val="28"/>
        </w:rPr>
        <w:t xml:space="preserve">Комбинация препаратов, подавляющих ренин-ангиотензиновую систему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−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иАПФ и БРА, по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итогам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 xml:space="preserve"> исследования О</w:t>
      </w:r>
      <w:r w:rsidRPr="004A22A7">
        <w:rPr>
          <w:rFonts w:ascii="Times New Roman" w:hAnsi="Times New Roman" w:cs="Times New Roman"/>
          <w:spacing w:val="-2"/>
          <w:sz w:val="28"/>
          <w:szCs w:val="28"/>
          <w:lang w:val="en-US"/>
        </w:rPr>
        <w:t>NTARGET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>негативно вли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>яет на почки и сердечно-сосудистую систему, что нашло отражение в рекомендациях ЕОАГ и ЕОК (2013): не использовать данную комбинацию у пациентов с ХБП.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b/>
          <w:spacing w:val="-3"/>
          <w:sz w:val="28"/>
          <w:szCs w:val="28"/>
        </w:rPr>
        <w:t>Нарушения липидного обмена и их коррекция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Гиперлипидемия ухудшает прогноз любого почечного заболевания, </w:t>
      </w:r>
      <w:r w:rsidRPr="004A22A7">
        <w:rPr>
          <w:rFonts w:ascii="Times New Roman" w:hAnsi="Times New Roman" w:cs="Times New Roman"/>
          <w:spacing w:val="-2"/>
          <w:sz w:val="28"/>
          <w:szCs w:val="28"/>
        </w:rPr>
        <w:t xml:space="preserve">при ХБП </w:t>
      </w:r>
      <w:r w:rsidRPr="004A22A7">
        <w:rPr>
          <w:rFonts w:ascii="Times New Roman" w:hAnsi="Times New Roman" w:cs="Times New Roman"/>
          <w:spacing w:val="-1"/>
          <w:sz w:val="28"/>
          <w:szCs w:val="28"/>
        </w:rPr>
        <w:t>темпы роста альбу</w:t>
      </w:r>
      <w:r w:rsidRPr="004A22A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минурии в группе пациентов с ожирением опережают таковые в </w:t>
      </w:r>
      <w:r w:rsidRPr="004A22A7">
        <w:rPr>
          <w:rFonts w:ascii="Times New Roman" w:hAnsi="Times New Roman" w:cs="Times New Roman"/>
          <w:spacing w:val="-4"/>
          <w:sz w:val="28"/>
          <w:szCs w:val="28"/>
        </w:rPr>
        <w:t xml:space="preserve">группе пациентов без ожирения. 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Высококачественные клинические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исследования показали, что 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гиполипидемическая терапия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пациентов с гиперлипидемией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 не влияет на прогрессирование ХБП,</w:t>
      </w:r>
      <w:r w:rsidRPr="004A22A7">
        <w:rPr>
          <w:rFonts w:ascii="Times New Roman" w:hAnsi="Times New Roman" w:cs="Times New Roman"/>
          <w:spacing w:val="-3"/>
          <w:sz w:val="28"/>
          <w:szCs w:val="28"/>
          <w:lang w:val="en-US"/>
        </w:rPr>
        <w:t> </w:t>
      </w:r>
      <w:r w:rsidRPr="004A22A7">
        <w:rPr>
          <w:rFonts w:ascii="Times New Roman" w:hAnsi="Times New Roman" w:cs="Times New Roman"/>
          <w:spacing w:val="-3"/>
          <w:sz w:val="28"/>
          <w:szCs w:val="28"/>
        </w:rPr>
        <w:t xml:space="preserve">но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снижает риск ИМ, инсульта и большинства сердечно-сосудистых осложнений на 1 - 3 стадиях ХБП. </w:t>
      </w:r>
    </w:p>
    <w:p w:rsidR="00DF3D9B" w:rsidRPr="004A22A7" w:rsidRDefault="00DF3D9B" w:rsidP="00A566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РЕКОМЕНДАЦИИ ПО ОЦЕНКЕ И КОРРЕКЦИИ НАРУШЕНИЙ ЛИПИДНОГО ОБМЕНА (таблица 4)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1. У взрослых с впервые выявленной ХБП (в том числе, получающих лечение  хроническим диализом или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 xml:space="preserve"> трансплантацией почки), рекомендуется оценка липидного профиля (общий холестерин, ЛПНП, ЛПВП, триглицериды). (</w:t>
      </w:r>
      <w:smartTag w:uri="urn:schemas-microsoft-com:office:smarttags" w:element="metricconverter">
        <w:smartTagPr>
          <w:attr w:name="ProductID" w:val="1,C"/>
        </w:smartTagPr>
        <w:r w:rsidRPr="004A22A7">
          <w:rPr>
            <w:rFonts w:ascii="Times New Roman" w:hAnsi="Times New Roman" w:cs="Times New Roman"/>
            <w:b/>
            <w:sz w:val="28"/>
            <w:szCs w:val="28"/>
          </w:rPr>
          <w:t>1,C</w:t>
        </w:r>
      </w:smartTag>
      <w:r w:rsidRPr="004A22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2. У взрослых </w:t>
      </w:r>
      <w:r w:rsidRPr="004A22A7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4A22A7">
        <w:rPr>
          <w:rFonts w:ascii="Times New Roman" w:hAnsi="Times New Roman" w:cs="Times New Roman"/>
          <w:sz w:val="28"/>
          <w:szCs w:val="28"/>
        </w:rPr>
        <w:t>50 лет с рСКФ&lt;60 мл/мин/1.73 м2 , не леченых  хроническим диализом или трансплантацией почек (СКФ С3a -С5 ), рекомендуется лечение статинами. (</w:t>
      </w:r>
      <w:r w:rsidRPr="004A22A7">
        <w:rPr>
          <w:rFonts w:ascii="Times New Roman" w:hAnsi="Times New Roman" w:cs="Times New Roman"/>
          <w:b/>
          <w:sz w:val="28"/>
          <w:szCs w:val="28"/>
        </w:rPr>
        <w:t>1,A</w:t>
      </w:r>
      <w:r w:rsidRPr="004A22A7">
        <w:rPr>
          <w:rFonts w:ascii="Times New Roman" w:hAnsi="Times New Roman" w:cs="Times New Roman"/>
          <w:sz w:val="28"/>
          <w:szCs w:val="28"/>
        </w:rPr>
        <w:t>)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 xml:space="preserve">3. У взрослых </w:t>
      </w:r>
      <w:r w:rsidRPr="004A22A7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4A22A7">
        <w:rPr>
          <w:rFonts w:ascii="Times New Roman" w:hAnsi="Times New Roman" w:cs="Times New Roman"/>
          <w:sz w:val="28"/>
          <w:szCs w:val="28"/>
        </w:rPr>
        <w:t xml:space="preserve"> 50 лет с ХБП и рСКФ &gt;60 мл/мин/1.73м</w:t>
      </w:r>
      <w:r w:rsidRPr="004A22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22A7">
        <w:rPr>
          <w:rFonts w:ascii="Times New Roman" w:hAnsi="Times New Roman" w:cs="Times New Roman"/>
          <w:sz w:val="28"/>
          <w:szCs w:val="28"/>
        </w:rPr>
        <w:t xml:space="preserve"> (СКФ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 xml:space="preserve">1− </w:t>
      </w:r>
      <w:r w:rsidRPr="004A2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2A7">
        <w:rPr>
          <w:rFonts w:ascii="Times New Roman" w:hAnsi="Times New Roman" w:cs="Times New Roman"/>
          <w:sz w:val="28"/>
          <w:szCs w:val="28"/>
        </w:rPr>
        <w:t>2 ) рекомендуется лечение статинами (</w:t>
      </w:r>
      <w:r w:rsidRPr="004A22A7">
        <w:rPr>
          <w:rFonts w:ascii="Times New Roman" w:hAnsi="Times New Roman" w:cs="Times New Roman"/>
          <w:b/>
          <w:sz w:val="28"/>
          <w:szCs w:val="28"/>
        </w:rPr>
        <w:t>1,B</w:t>
      </w:r>
      <w:r w:rsidRPr="004A22A7">
        <w:rPr>
          <w:rFonts w:ascii="Times New Roman" w:hAnsi="Times New Roman" w:cs="Times New Roman"/>
          <w:sz w:val="28"/>
          <w:szCs w:val="28"/>
        </w:rPr>
        <w:t>).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4. У взрослых в возрасте 18-49 лет с ХБП, но не получавших хронического диализа или трансплантации почки, показано  лечение статинами при одном или нескольких следующих  заболеваниях (</w:t>
      </w:r>
      <w:r w:rsidRPr="004A22A7">
        <w:rPr>
          <w:rFonts w:ascii="Times New Roman" w:hAnsi="Times New Roman" w:cs="Times New Roman"/>
          <w:b/>
          <w:sz w:val="28"/>
          <w:szCs w:val="28"/>
        </w:rPr>
        <w:t>2а</w:t>
      </w:r>
      <w:r w:rsidRPr="004A22A7">
        <w:rPr>
          <w:rFonts w:ascii="Times New Roman" w:hAnsi="Times New Roman" w:cs="Times New Roman"/>
          <w:sz w:val="28"/>
          <w:szCs w:val="28"/>
        </w:rPr>
        <w:t>): ИБС (инфаркт миокарда или коронарная реваскуляризация), сахарный диабет, ишемический инсульт.</w:t>
      </w:r>
    </w:p>
    <w:p w:rsidR="00DF3D9B" w:rsidRPr="004A22A7" w:rsidRDefault="00DF3D9B" w:rsidP="00A5663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Таблица 4</w:t>
      </w:r>
    </w:p>
    <w:p w:rsidR="00DF3D9B" w:rsidRPr="004A22A7" w:rsidRDefault="00DF3D9B" w:rsidP="00A5663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b/>
          <w:sz w:val="28"/>
          <w:szCs w:val="28"/>
        </w:rPr>
        <w:t>Рекомендации по проведению липидмодифици-рующей терапии у пациентов с ХБП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b/>
          <w:sz w:val="28"/>
          <w:szCs w:val="28"/>
        </w:rPr>
        <w:t>(стадии 2-4)</w:t>
      </w:r>
    </w:p>
    <w:tbl>
      <w:tblPr>
        <w:tblW w:w="96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38"/>
        <w:gridCol w:w="992"/>
        <w:gridCol w:w="1303"/>
      </w:tblGrid>
      <w:tr w:rsidR="00DF3D9B" w:rsidRPr="004A22A7" w:rsidTr="00E4532C">
        <w:trPr>
          <w:trHeight w:val="408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</w:tc>
      </w:tr>
      <w:tr w:rsidR="00DF3D9B" w:rsidRPr="004A22A7" w:rsidTr="00E4532C">
        <w:trPr>
          <w:trHeight w:val="1047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ХБП является эквивалентом ИБС по сердечно-сосудистому риску, поэтому у больных ХБП снижение уровня ХС-ЛПНП является основной целью терапии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DF3D9B" w:rsidRPr="004A22A7" w:rsidTr="00E4532C">
        <w:trPr>
          <w:trHeight w:val="700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Снижение уровня Х</w:t>
            </w:r>
            <w:r w:rsidRPr="004A2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-ЛПНП способствует снижению риска развития ССЗ у пациентов с ХБП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DF3D9B" w:rsidRPr="004A22A7" w:rsidTr="00E4532C">
        <w:trPr>
          <w:trHeight w:val="658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Назначение статинов для замедления прогрессирования ХБП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DF3D9B" w:rsidRPr="004A22A7" w:rsidTr="00E4532C">
        <w:trPr>
          <w:trHeight w:val="1025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Так как статины оказывают положительное влияние на ПУ (&gt;300 мг/день), их назначать следует  при  ХБП 2-4 стадии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DF3D9B" w:rsidRPr="004A22A7" w:rsidTr="00E4532C">
        <w:trPr>
          <w:trHeight w:val="1385"/>
        </w:trPr>
        <w:tc>
          <w:tcPr>
            <w:tcW w:w="7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ХБП Ш и </w:t>
            </w:r>
            <w:r w:rsidRPr="004A2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статины в качестве монотерапии или в комбинации показаны для достижения уровня Х</w:t>
            </w:r>
            <w:r w:rsidRPr="004A2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-ЛПНП  &lt;2,5 ммоль/л при СКФ 30-60 мл/мин/1,73 м</w:t>
            </w:r>
            <w:r w:rsidRPr="004A22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 xml:space="preserve"> и &lt;1,8 ммоль/л при СКФ &lt;30 мл/мин/1,73м</w:t>
            </w:r>
            <w:r w:rsidRPr="004A22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IIa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D9B" w:rsidRPr="004A22A7" w:rsidRDefault="00DF3D9B" w:rsidP="00A56632"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</w:tbl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F3D9B" w:rsidRPr="004A22A7" w:rsidRDefault="00DF3D9B" w:rsidP="00A56632">
      <w:pPr>
        <w:shd w:val="clear" w:color="auto" w:fill="FFFFFF"/>
        <w:spacing w:after="0" w:line="240" w:lineRule="auto"/>
        <w:ind w:left="6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тины (розувастатин, аторвастатин, симвастатин, ловастатин) уменьшают уровень общего хо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лестерина в сыворотке крови, холестерина липопротеидов низкой плот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 и величину суточной протеинурии, однако не оказывают существенного влия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на СКФ. При лечении статинами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уменьшалась частота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сердечно-сосудистых осложнений без влияния на общую смертность.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Анемия,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 предиктор развития гипертрофии левого желудоч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 и ИБС, ассоцииру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ется с ухудшением качества жизни, ростом кардиоваскулярных осложнений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увеличением частоты госпитализаций у пациентов с ХБП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Анемия обусловлена относительной недостаточностью эритропоэтина и железа. Анемия связанна с развитием гипертрофия левого желудочка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 застойной сердечной недостаточности, которые повышают риск сердечно сосудистой смертности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среди пациентов с почечной недостаточностью.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6" w:right="-5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Коррекция анемии при ХБП 5 стадии на основе применения эритро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поэтинов (эпоэтин-альфа, эпоэтин-бета), стимуляторов эритропоэза (мирцера) и препаратов железа для приема внутрь (лактат железа, фумарат железа, сульфат железа) или парентерального введения,  явля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одним из основных принципов ведения таких больных.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K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оррекция анемии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додиализных стадиях ХБП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требует осторожности, по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скольку даже сравнительно невысокие уровни гемоглобина (более 120 г/л)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сопровождают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ся ухудшением почечного и кардиоваскулярного прогноза. 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14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Высокое </w:t>
      </w:r>
      <w:r w:rsidRPr="004A22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потребление белка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ассоциируется со снижением почечно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 сосудистого сопротивления, нарастанием почечного кровотока и гломерулярной ультрафильтрации.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Ограничение белка в рационе приводит к умерен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ному позитивному эффекту в плане почечного прогноза при ХБП [Fouque D., Laville M.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, 2009].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У детей с ХБП содержание белка в рационе должно соответствовать воз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растной норме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Исключение могут составлять ситуации с крайней степенью вы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раженности гиперфосфатемии и гиперпаратиреоидизма.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7" w:right="29" w:firstLine="53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Нарушения </w:t>
      </w:r>
      <w:r w:rsidRPr="004A22A7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минерального обмена</w:t>
      </w:r>
      <w:r w:rsidRPr="004A22A7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 проявления вторичного гиперпаратиреоза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прогрессируют по мере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снижения СКФ. </w:t>
      </w:r>
      <w:r w:rsidRPr="004A22A7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лечении</w:t>
      </w:r>
      <w:r w:rsidRPr="004A22A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нарушений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гомеостаза кальция и фос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фора </w:t>
      </w:r>
      <w:r w:rsidRPr="004A22A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используют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новые классы фармакологических препаратов, воздей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ствующих минераль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ный обмен в костной ткани: кальцимиметики (цинакальцет), активаторы ре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цепторов витамина </w:t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D (парикальцитол),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энтеросорбенты (лантана карбонат) и др.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Гиперкалиемия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связана с уменьшенным клиренсом, как правило, не развивается до тех пор, пока СКФ не падает ниже 20 мл/мин/1.73м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или не развивается олигурия. Однако раннее развитие гиперкалиемии может возникать у пациентов с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диабетической нефропатией и у пациентов при приеме ИАПФ/БРА, НПВС или калийсберегающих 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диуретиков. </w:t>
      </w:r>
    </w:p>
    <w:p w:rsidR="00DF3D9B" w:rsidRPr="004A22A7" w:rsidRDefault="00DF3D9B" w:rsidP="00A56632">
      <w:pPr>
        <w:pStyle w:val="2"/>
        <w:rPr>
          <w:sz w:val="32"/>
        </w:rPr>
      </w:pPr>
      <w:bookmarkStart w:id="27" w:name="_Toc26393185"/>
      <w:r w:rsidRPr="004A22A7">
        <w:rPr>
          <w:sz w:val="32"/>
        </w:rPr>
        <w:t>Показания к консультации специалистов</w:t>
      </w:r>
      <w:bookmarkEnd w:id="27"/>
    </w:p>
    <w:p w:rsidR="00DF3D9B" w:rsidRPr="004A22A7" w:rsidRDefault="00DF3D9B" w:rsidP="00A56632">
      <w:pPr>
        <w:shd w:val="clear" w:color="auto" w:fill="FCFCFC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Наиболее распространенные причины ХБП являются АГ и сахарный диабет, данные заболевания должны быть исключены в первую очередь.  </w:t>
      </w:r>
    </w:p>
    <w:p w:rsidR="00DF3D9B" w:rsidRPr="004A22A7" w:rsidRDefault="00DF3D9B" w:rsidP="00A56632">
      <w:pPr>
        <w:shd w:val="clear" w:color="auto" w:fill="FCFCFC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1. При  наличии специфических симптомов  заболеваний других органов и систем (гепатиты, болезни крови, ревматические заболевания и другие), пациенты должны быть направлены, соответственно, к гастроэнтерологу, гематологу, ревматологу.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[</w:t>
      </w: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2. Пациентов с ХБП, не связанной с гипертонией или диабетом или с неопределенной этиологией, следует направить к нефрологу для уточнения причины  и назначения лечения. [</w:t>
      </w: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lastRenderedPageBreak/>
        <w:t>3. К нефрологу следует направить для проведения биопсии почки больных с нефротической протеинурией (экскреция с мочой «белок/креатинин» &gt; 3.5 г/сут), особенно при отсутствии сахарного диабета, для гистологического уточнения заболевание почек.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4. Консультация уролога должны быть проведена у пациентов с нарушениями уродинамики или наличием  обструктивных заболеваний мочевых путей. [</w:t>
      </w: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].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5. Консультация диетолога рекомендуется для разработки диеты с ограничением калия при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гиперкалиемии, которую не удается устранить при  отмене возможного лекарства-виновника.</w:t>
      </w:r>
    </w:p>
    <w:p w:rsidR="00DF3D9B" w:rsidRPr="004A22A7" w:rsidRDefault="00DF3D9B" w:rsidP="00A56632">
      <w:pPr>
        <w:pStyle w:val="4"/>
        <w:spacing w:line="240" w:lineRule="auto"/>
        <w:jc w:val="center"/>
      </w:pPr>
    </w:p>
    <w:p w:rsidR="00DF3D9B" w:rsidRPr="00B80B7D" w:rsidRDefault="00DF3D9B" w:rsidP="00A56632">
      <w:pPr>
        <w:pStyle w:val="2"/>
        <w:rPr>
          <w:sz w:val="32"/>
        </w:rPr>
      </w:pPr>
      <w:bookmarkStart w:id="28" w:name="_Toc26393186"/>
      <w:r w:rsidRPr="00B80B7D">
        <w:rPr>
          <w:sz w:val="32"/>
        </w:rPr>
        <w:t>Показания к госпитализации</w:t>
      </w:r>
      <w:bookmarkEnd w:id="28"/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1. Диагностика причины ХБП у больных с впервые выявленной ХБП при невозможности полного обследования на амбулаторном этапе (по тяжести состояния или отсутствии каких-либо методов исследования).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2. Резкое ускорение темпов прогрессирования, обусловленное обострением или ухудшением течения основного заболевания (например, гломерулонефрита), наслоением острой почечной недостаточности на ХБП.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3. Осложнения ХБП (подозрение на инфаркт миокарда, инсульт, острые нарушения ритма, нарастание степени недостаточности кровообращения   и др.).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4. Для проведения гемодиализа по неотложным показаниям .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sz w:val="28"/>
          <w:szCs w:val="28"/>
        </w:rPr>
        <w:t>5. Формирование фистулы для последующего программного гемодиализа.</w:t>
      </w:r>
    </w:p>
    <w:p w:rsidR="00DF3D9B" w:rsidRPr="00B80B7D" w:rsidRDefault="00DF3D9B" w:rsidP="00A56632">
      <w:pPr>
        <w:pStyle w:val="2"/>
        <w:rPr>
          <w:sz w:val="32"/>
        </w:rPr>
      </w:pPr>
      <w:bookmarkStart w:id="29" w:name="_Toc26393187"/>
      <w:r w:rsidRPr="00B80B7D">
        <w:rPr>
          <w:sz w:val="32"/>
        </w:rPr>
        <w:t>Организация медицинской помощи на амбулаторном этапе</w:t>
      </w:r>
      <w:bookmarkEnd w:id="29"/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План лечения пациентов с выявленной  ХБП на этапе первичной медицинской помощи включает регулярный мониторинг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функции почек, поддержание состояния  здоровья, устранение сердечно-сосудистых факторов риска 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ХБП. </w:t>
      </w:r>
    </w:p>
    <w:p w:rsidR="00DF3D9B" w:rsidRPr="004A22A7" w:rsidRDefault="00DF3D9B" w:rsidP="00A56632"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Снижение экскреции белка приводит к снижению риска прогрессирования ХБП, поэтому особо важной терапевтической целью для всех взрослых с ХБП, независимо от возраста, является выполнение рекомендаций по снижению экскреции белка: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1. Контроль гипертензии.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2. Использование ИАПФ или БРА.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3. Ограничение употребления белка с пищей.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4. Контроль гипергликемии у больных сахарным диабетом.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5. Избежание приема нефротоксичных препаратов и коррекция доз препаратов.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6. Прекращения курения.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7. Контроль дислипидемии.</w:t>
      </w:r>
    </w:p>
    <w:p w:rsidR="00DF3D9B" w:rsidRPr="004A22A7" w:rsidRDefault="00DF3D9B" w:rsidP="00A5663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B80B7D">
        <w:rPr>
          <w:rStyle w:val="20"/>
          <w:sz w:val="32"/>
        </w:rPr>
        <w:lastRenderedPageBreak/>
        <w:t xml:space="preserve">                                              </w:t>
      </w:r>
      <w:bookmarkStart w:id="30" w:name="_Toc26393188"/>
      <w:r w:rsidRPr="00B80B7D">
        <w:rPr>
          <w:rStyle w:val="20"/>
          <w:sz w:val="32"/>
        </w:rPr>
        <w:t>Обучение пациентов.</w:t>
      </w:r>
      <w:bookmarkEnd w:id="30"/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a) обучение должно начинаться рано и должно включать основные сведения, касающиеся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функции почек;</w:t>
      </w:r>
    </w:p>
    <w:p w:rsidR="00DF3D9B" w:rsidRPr="004A22A7" w:rsidRDefault="00DF3D9B" w:rsidP="00A5663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б) донесение информации до пациента;</w:t>
      </w:r>
    </w:p>
    <w:p w:rsidR="00DF3D9B" w:rsidRPr="004A22A7" w:rsidRDefault="00DF3D9B" w:rsidP="00A5663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c) обучение должно быть постоянным; 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d) печатные материалы должны быть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приемлемыми для чтения и соразмерны образованию;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г) инструкции должны быть простыми, целенаправленными, последовательными и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повторяющимися;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д) важность  контроля АД. </w:t>
      </w:r>
    </w:p>
    <w:p w:rsidR="00DF3D9B" w:rsidRPr="00B80B7D" w:rsidRDefault="00DF3D9B" w:rsidP="00A56632">
      <w:pPr>
        <w:pStyle w:val="2"/>
        <w:rPr>
          <w:sz w:val="32"/>
        </w:rPr>
      </w:pPr>
      <w:bookmarkStart w:id="31" w:name="_Toc26393189"/>
      <w:r w:rsidRPr="00B80B7D">
        <w:rPr>
          <w:sz w:val="32"/>
        </w:rPr>
        <w:t>Профилактика</w:t>
      </w:r>
      <w:bookmarkEnd w:id="31"/>
    </w:p>
    <w:p w:rsidR="00DF3D9B" w:rsidRPr="004A22A7" w:rsidRDefault="00DF3D9B" w:rsidP="00A5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9B" w:rsidRPr="004A22A7" w:rsidRDefault="00DF3D9B" w:rsidP="00A566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Основой первичной профилактики ХБП является устранение или ми</w:t>
      </w:r>
      <w:r w:rsidRPr="004A22A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нимизация факторов риска ее развития.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Вторичная профилактика ХБП должна быть одновременно направлена </w:t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на замедление темпов прогрессирования ХБП (ренопротекция) и преду</w:t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преждение развития сердечно-сосудистой патологии (кардиопротекция).</w:t>
      </w:r>
      <w:r w:rsidRPr="004A22A7">
        <w:rPr>
          <w:rFonts w:ascii="Times New Roman" w:hAnsi="Times New Roman" w:cs="Times New Roman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Сердечно-сосудистые осложнения являются основной причиной гибели па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циентов с ХБП, в то же время почечная дисфункция и альбуминурия ― важ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нейшие факторы сердечно-сосудистого риска.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Рено- и кардиопротекция представляет собой двуединую задачу, </w:t>
      </w:r>
      <w:r w:rsidRPr="004A22A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поскольку прогрессирующее снижение функции</w:t>
      </w:r>
      <w:r w:rsidRPr="004A22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почек и развитие сердечно-сосудистых осложнений тесно взаимосвязаны, и 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каждый из этих факторов имеет решающее значение для общего прогноза. 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ним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относятся низкосолевая диета, борьба с ожирением и курением, коррек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ция нарушений углеводного обмена; лечение препаратами, подавляющими ренин-ангиотензин-альдостероновую систему (ингибиторы АПФ, блокато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ры ангиотензиновых рецепторов), статинами, некото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рыми антагонистами кальция и препаратами, улучшающими микроцирку</w:t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ляцию.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профилактики и лечения ХБП является кор</w:t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рекция образа жизни и характера питания с целью наиболее полного воз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на модифицируемые факторы риска развития и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прогрессирования ХБП.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Пациен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там, имеющим избыточную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массу тела, должны быть даны рекомендации по </w:t>
      </w:r>
      <w:r w:rsidRPr="004A22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коррекции массы тела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счет коррек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ции калорийности рациона и </w:t>
      </w:r>
      <w:r w:rsidRPr="004A22A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достаточной физической активности</w:t>
      </w:r>
      <w:r w:rsidRPr="004A22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 ограничению поваренной соли </w:t>
      </w:r>
      <w:r w:rsidRPr="004A22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 пище. </w:t>
      </w:r>
      <w:r w:rsidRPr="004A2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менее значимым в профилактике ХБП является </w:t>
      </w:r>
      <w:r w:rsidRPr="004A22A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ограничение </w:t>
      </w:r>
      <w:r w:rsidRPr="004A22A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потребления алкоголя и исключения </w:t>
      </w:r>
      <w:r w:rsidRPr="004A22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курение, как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дозозависимого фактора риска снижения СКФ </w:t>
      </w:r>
      <w:r w:rsidRPr="004A22A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и 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появления микро</w:t>
      </w:r>
      <w:r w:rsidRPr="004A22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альбуминурии (таблица 5).</w:t>
      </w:r>
    </w:p>
    <w:p w:rsidR="00DF3D9B" w:rsidRPr="004A22A7" w:rsidRDefault="00DF3D9B" w:rsidP="00A56632">
      <w:pPr>
        <w:shd w:val="clear" w:color="auto" w:fill="FFFFFF"/>
        <w:spacing w:after="0" w:line="240" w:lineRule="auto"/>
        <w:ind w:firstLine="526"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4A22A7">
        <w:rPr>
          <w:rFonts w:ascii="Times New Roman" w:hAnsi="Times New Roman" w:cs="Times New Roman"/>
          <w:color w:val="000000"/>
          <w:spacing w:val="-3"/>
          <w:sz w:val="28"/>
          <w:szCs w:val="28"/>
        </w:rPr>
        <w:t>(Таблица 5).</w:t>
      </w:r>
    </w:p>
    <w:p w:rsidR="00A56632" w:rsidRDefault="00A56632" w:rsidP="00A56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ja-JP"/>
        </w:rPr>
      </w:pPr>
    </w:p>
    <w:p w:rsidR="00A56632" w:rsidRDefault="00A56632" w:rsidP="00A56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ja-JP"/>
        </w:rPr>
      </w:pPr>
    </w:p>
    <w:p w:rsidR="00A56632" w:rsidRDefault="00A56632" w:rsidP="00A56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ja-JP"/>
        </w:rPr>
      </w:pPr>
    </w:p>
    <w:p w:rsidR="00A56632" w:rsidRDefault="00A56632" w:rsidP="00A56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ja-JP"/>
        </w:rPr>
      </w:pPr>
    </w:p>
    <w:p w:rsidR="00DF3D9B" w:rsidRPr="004A22A7" w:rsidRDefault="00DF3D9B" w:rsidP="00A56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ja-JP"/>
        </w:rPr>
      </w:pPr>
      <w:r w:rsidRPr="004A22A7">
        <w:rPr>
          <w:rFonts w:ascii="Times New Roman" w:eastAsia="Batang" w:hAnsi="Times New Roman" w:cs="Times New Roman"/>
          <w:b/>
          <w:sz w:val="28"/>
          <w:szCs w:val="28"/>
          <w:lang w:eastAsia="ja-JP"/>
        </w:rPr>
        <w:lastRenderedPageBreak/>
        <w:t>Направленность практических мероприятий по профилактике хронической болезни почек в зависимости от ее стадии ХБП</w:t>
      </w:r>
    </w:p>
    <w:tbl>
      <w:tblPr>
        <w:tblW w:w="946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897"/>
        <w:gridCol w:w="6663"/>
      </w:tblGrid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Стадии  ХБП 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Стадии (С) ХБП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Рекомендуемые мероприятия</w:t>
            </w:r>
          </w:p>
          <w:p w:rsidR="00DF3D9B" w:rsidRPr="004A22A7" w:rsidRDefault="00DF3D9B" w:rsidP="00A566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функции почек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Наличие факторов</w:t>
            </w:r>
          </w:p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риска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развития ХБП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 xml:space="preserve">Регулярный скрининг ХБП, мероприятия по снижению риска ее развития 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2249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Диагностика и этиотропное лечение основного заболевания почек. Коррекция общих патогенетических факторов риска ХБП с целью замедление темпов ее прогрессирования. Оценка состояния сердечно-сосудистой системы и коррекция терапии, контроль факторов риска развития и прогрессирования сердечно-сосудистых осложнений.</w:t>
            </w: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B" w:rsidRPr="004A22A7" w:rsidRDefault="00DF3D9B" w:rsidP="00A56632">
            <w:pPr>
              <w:shd w:val="clear" w:color="auto" w:fill="FFFFFF"/>
              <w:spacing w:line="240" w:lineRule="auto"/>
              <w:ind w:left="18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60-89      ,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Мероприятия по стадии 1 + Оценка скорости прогрессирования  ХБП и коррекция терапии.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 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Мероприятия по стадии 2 + Выявление, профилактика и лечение осложнений (анемия, дизэлектролитемия, ацидоз, гиперпаратиреоз, гипергомоцистеинемия, БЭН и др…)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Мероприятия по стадии 3 + Подготовка к заместительной почечной терапии.</w:t>
            </w:r>
          </w:p>
        </w:tc>
      </w:tr>
      <w:tr w:rsidR="00DF3D9B" w:rsidRPr="004A22A7" w:rsidTr="00E4532C">
        <w:tblPrEx>
          <w:tblCellMar>
            <w:top w:w="0" w:type="dxa"/>
            <w:bottom w:w="0" w:type="dxa"/>
          </w:tblCellMar>
        </w:tblPrEx>
        <w:trPr>
          <w:trHeight w:hRule="exact" w:val="2384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A7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B" w:rsidRPr="004A22A7" w:rsidRDefault="00DF3D9B" w:rsidP="00A56632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</w:pPr>
            <w:r w:rsidRPr="004A22A7">
              <w:rPr>
                <w:rFonts w:ascii="Times New Roman" w:eastAsia="Batang" w:hAnsi="Times New Roman" w:cs="Times New Roman"/>
                <w:sz w:val="28"/>
                <w:szCs w:val="28"/>
                <w:lang w:eastAsia="ja-JP"/>
              </w:rPr>
              <w:t>Заместительная почечная терапия (по показаниям) + Выявление, профилактика и лечение осложнений ХБП (анемии, нарушения водно-электролитного баланса, кальций-фосфатного баланса, ацидоза, гипергомоцистеинемии, белковоэнергетической недостаточности).</w:t>
            </w:r>
          </w:p>
        </w:tc>
      </w:tr>
    </w:tbl>
    <w:p w:rsidR="00DF3D9B" w:rsidRPr="004A22A7" w:rsidRDefault="00DF3D9B" w:rsidP="00A56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  <w:lang w:eastAsia="ja-JP"/>
        </w:rPr>
      </w:pP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Контроль уровня сахара крови: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сахарный диабет усугубляет повреждение почек у пациентов с ХБП. Гликемический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контроль важен, чтобы свести к минимуму прогрессирование ХБП. ИАПФ и БРА задерживают прогрессирование диабетической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и недиабетической болезни почек, даже при отсутствии гипертензии. 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Избежание НПВС и других нефротоксических препаратов.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Изменения в образе жизни: прекращение курения, контроль веса, изменения в питании, отказ от употребления алкоголя и наркотиков, увеличение физической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активности, социальные вопросы, профессиональная реабилитация.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Пациенты должны быть предупреждены о необходимости контроля уровня кальция и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lastRenderedPageBreak/>
        <w:t>фосфатов для профилактики заболеваний кости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сердечно-сосудистых заболеваний. </w:t>
      </w:r>
    </w:p>
    <w:p w:rsidR="00DF3D9B" w:rsidRPr="004A22A7" w:rsidRDefault="00DF3D9B" w:rsidP="00A566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Подготовка для почечной заместительной терапии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 При рСКФ &lt;30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мл/мин/1.73м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 xml:space="preserve">2 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пациент должен быть направлен к нефрологу для обсуждения заместительной почечной терапии и/или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трансплантации. Начало заместительной терапии при рСКФ &lt;15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мл/мин/1.73м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Могут быть использованы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различные формы почечной заместительной терапии, включая гемодиализ, перитонеальный</w:t>
      </w:r>
      <w:r w:rsidRPr="004A22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22A7"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диализ и трансплантацию. В настоящее время не существует возрастных ограничений для начала проведения диализа. </w:t>
      </w:r>
    </w:p>
    <w:p w:rsidR="00DF3D9B" w:rsidRPr="00B80B7D" w:rsidRDefault="00DF3D9B" w:rsidP="00A56632">
      <w:pPr>
        <w:pStyle w:val="2"/>
        <w:rPr>
          <w:sz w:val="32"/>
        </w:rPr>
      </w:pPr>
      <w:bookmarkStart w:id="32" w:name="_Toc26393190"/>
      <w:r w:rsidRPr="00B80B7D">
        <w:rPr>
          <w:sz w:val="32"/>
        </w:rPr>
        <w:t>Прогноз</w:t>
      </w:r>
      <w:bookmarkEnd w:id="32"/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Среднее ежегодное снижение СКФ у пациентов с ХБП колеблется в широких пределах, от 1 до более чем 10 мл/мин/1.73 м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> [25].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 xml:space="preserve"> Пациенты с альбуминурией и СКФ &gt; 60 мл/мин/1.73 м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>(ХБП стадии 1 или 2) имели более высокий риск смертности при наличии макроальбуминурии  по сравнению с пациентами с микроальбуминурией.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 xml:space="preserve">  </w:t>
      </w:r>
      <w:r w:rsidRPr="004A22A7">
        <w:rPr>
          <w:sz w:val="28"/>
          <w:szCs w:val="28"/>
          <w:bdr w:val="none" w:sz="0" w:space="0" w:color="auto" w:frame="1"/>
        </w:rPr>
        <w:t>Риск смертности повышается у пациентов с СКФ от 45 до 59 мл/мин/1.73 м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A22A7">
        <w:rPr>
          <w:sz w:val="28"/>
          <w:szCs w:val="28"/>
          <w:bdr w:val="none" w:sz="0" w:space="0" w:color="auto" w:frame="1"/>
        </w:rPr>
        <w:t>, нарастает при СКФ 30 до 44 мл/мин/1.73 м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A22A7">
        <w:rPr>
          <w:sz w:val="28"/>
          <w:szCs w:val="28"/>
          <w:bdr w:val="none" w:sz="0" w:space="0" w:color="auto" w:frame="1"/>
        </w:rPr>
        <w:t xml:space="preserve"> и становится еще выше у пациентов с СКФ менее 30 мл/мин / </w:t>
      </w:r>
      <w:smartTag w:uri="urn:schemas-microsoft-com:office:smarttags" w:element="metricconverter">
        <w:smartTagPr>
          <w:attr w:name="ProductID" w:val="1,73 м2"/>
        </w:smartTagPr>
        <w:r w:rsidRPr="004A22A7">
          <w:rPr>
            <w:sz w:val="28"/>
            <w:szCs w:val="28"/>
            <w:bdr w:val="none" w:sz="0" w:space="0" w:color="auto" w:frame="1"/>
          </w:rPr>
          <w:t>1,73 м</w:t>
        </w:r>
        <w:r w:rsidRPr="004A22A7">
          <w:rPr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4A22A7">
        <w:rPr>
          <w:sz w:val="28"/>
          <w:szCs w:val="28"/>
          <w:bdr w:val="none" w:sz="0" w:space="0" w:color="auto" w:frame="1"/>
        </w:rPr>
        <w:t>. Годовые темпы перехода от микроальбуминурии к макроальбуминурии варьируются от 2,8% до 9% [26-28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]</w:t>
      </w:r>
      <w:r w:rsidRPr="004A22A7">
        <w:rPr>
          <w:sz w:val="28"/>
          <w:szCs w:val="28"/>
          <w:bdr w:val="none" w:sz="0" w:space="0" w:color="auto" w:frame="1"/>
        </w:rPr>
        <w:t>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Факторы, которые приводят к быстрому снижению СКФ, включают диабет, протеинурию, гипертензию, пожилой возраст, ожирение, дислипидемию, курение, мужской пол и причинное заболевания почек.</w:t>
      </w:r>
    </w:p>
    <w:p w:rsidR="00DF3D9B" w:rsidRPr="004A22A7" w:rsidRDefault="00DF3D9B" w:rsidP="00A56632">
      <w:pPr>
        <w:pStyle w:val="par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Небольшие колебания СКФ возможны и не обязательно указывают на прогрессирование.  Оценка снижения  СКФ в процентах к исходной  рекомендована для определения прогрессирования ХБП,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 xml:space="preserve">  </w:t>
      </w:r>
      <w:r w:rsidRPr="004A22A7">
        <w:rPr>
          <w:sz w:val="28"/>
          <w:szCs w:val="28"/>
          <w:bdr w:val="none" w:sz="0" w:space="0" w:color="auto" w:frame="1"/>
        </w:rPr>
        <w:t>хотя  прогрессирование часто не является линейным.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 xml:space="preserve">  </w:t>
      </w:r>
      <w:r w:rsidRPr="004A22A7">
        <w:rPr>
          <w:sz w:val="28"/>
          <w:szCs w:val="28"/>
          <w:bdr w:val="none" w:sz="0" w:space="0" w:color="auto" w:frame="1"/>
        </w:rPr>
        <w:t>Лица с ХБП с высоким риском сердечно-сосудистых событий, имеют худший прогноз и более высокий риск смертности после острого инфаркта миокарда, а также более высокий риск рецидива инфаркта миокарда, сердечной недостаточности и внезапной сердечной смерти [29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]</w:t>
      </w:r>
      <w:r w:rsidRPr="004A22A7">
        <w:rPr>
          <w:sz w:val="28"/>
          <w:szCs w:val="28"/>
          <w:bdr w:val="none" w:sz="0" w:space="0" w:color="auto" w:frame="1"/>
        </w:rPr>
        <w:t>.</w:t>
      </w:r>
      <w:r w:rsidRPr="004A22A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A56632" w:rsidRDefault="00A56632" w:rsidP="00A56632">
      <w:pPr>
        <w:pStyle w:val="2"/>
        <w:rPr>
          <w:rStyle w:val="a7"/>
          <w:sz w:val="32"/>
        </w:rPr>
      </w:pPr>
      <w:bookmarkStart w:id="33" w:name="_Toc26393191"/>
    </w:p>
    <w:p w:rsidR="00A56632" w:rsidRDefault="00A56632" w:rsidP="00A56632">
      <w:pPr>
        <w:pStyle w:val="2"/>
        <w:rPr>
          <w:rStyle w:val="a7"/>
          <w:sz w:val="32"/>
        </w:rPr>
      </w:pPr>
    </w:p>
    <w:p w:rsidR="00A56632" w:rsidRDefault="00A56632" w:rsidP="00A56632">
      <w:pPr>
        <w:pStyle w:val="2"/>
        <w:rPr>
          <w:rStyle w:val="a7"/>
          <w:sz w:val="32"/>
        </w:rPr>
      </w:pPr>
    </w:p>
    <w:p w:rsidR="00A56632" w:rsidRDefault="00A56632" w:rsidP="00A56632">
      <w:pPr>
        <w:pStyle w:val="2"/>
        <w:rPr>
          <w:rStyle w:val="a7"/>
          <w:sz w:val="32"/>
        </w:rPr>
      </w:pPr>
    </w:p>
    <w:p w:rsidR="00A56632" w:rsidRDefault="00A56632" w:rsidP="00A56632">
      <w:pPr>
        <w:pStyle w:val="2"/>
        <w:rPr>
          <w:rStyle w:val="a7"/>
          <w:sz w:val="32"/>
        </w:rPr>
      </w:pPr>
    </w:p>
    <w:p w:rsidR="00A56632" w:rsidRDefault="00A56632" w:rsidP="00A56632">
      <w:pPr>
        <w:pStyle w:val="2"/>
        <w:rPr>
          <w:rStyle w:val="a7"/>
          <w:sz w:val="32"/>
        </w:rPr>
      </w:pPr>
    </w:p>
    <w:p w:rsidR="00DF3D9B" w:rsidRPr="00B80B7D" w:rsidRDefault="00DF3D9B" w:rsidP="00A56632">
      <w:pPr>
        <w:pStyle w:val="2"/>
        <w:rPr>
          <w:rStyle w:val="a7"/>
          <w:sz w:val="32"/>
        </w:rPr>
      </w:pPr>
      <w:r w:rsidRPr="00B80B7D">
        <w:rPr>
          <w:rStyle w:val="a7"/>
          <w:sz w:val="32"/>
        </w:rPr>
        <w:lastRenderedPageBreak/>
        <w:t>ЛИТЕРАТУРА</w:t>
      </w:r>
      <w:bookmarkEnd w:id="33"/>
    </w:p>
    <w:p w:rsidR="00DF3D9B" w:rsidRPr="004A22A7" w:rsidRDefault="00DF3D9B" w:rsidP="00A56632">
      <w:pPr>
        <w:pStyle w:val="par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Хроническая болезнь почек и нефропротективная терапия.  Методическое руководство для врачей  / ред. Е</w:t>
      </w:r>
      <w:r w:rsidRPr="004A22A7">
        <w:rPr>
          <w:sz w:val="28"/>
          <w:szCs w:val="28"/>
          <w:bdr w:val="none" w:sz="0" w:space="0" w:color="auto" w:frame="1"/>
          <w:lang w:val="en-US"/>
        </w:rPr>
        <w:t>.</w:t>
      </w:r>
      <w:r w:rsidRPr="004A22A7">
        <w:rPr>
          <w:sz w:val="28"/>
          <w:szCs w:val="28"/>
          <w:bdr w:val="none" w:sz="0" w:space="0" w:color="auto" w:frame="1"/>
        </w:rPr>
        <w:t>М</w:t>
      </w:r>
      <w:r w:rsidRPr="004A22A7">
        <w:rPr>
          <w:sz w:val="28"/>
          <w:szCs w:val="28"/>
          <w:bdr w:val="none" w:sz="0" w:space="0" w:color="auto" w:frame="1"/>
          <w:lang w:val="en-US"/>
        </w:rPr>
        <w:t>.</w:t>
      </w:r>
      <w:r w:rsidRPr="004A22A7">
        <w:rPr>
          <w:sz w:val="28"/>
          <w:szCs w:val="28"/>
          <w:bdr w:val="none" w:sz="0" w:space="0" w:color="auto" w:frame="1"/>
        </w:rPr>
        <w:t>Шилов</w:t>
      </w:r>
      <w:r w:rsidRPr="004A22A7">
        <w:rPr>
          <w:sz w:val="28"/>
          <w:szCs w:val="28"/>
          <w:bdr w:val="none" w:sz="0" w:space="0" w:color="auto" w:frame="1"/>
          <w:lang w:val="en-US"/>
        </w:rPr>
        <w:t xml:space="preserve"> /  </w:t>
      </w:r>
      <w:r w:rsidRPr="004A22A7">
        <w:rPr>
          <w:sz w:val="28"/>
          <w:szCs w:val="28"/>
          <w:bdr w:val="none" w:sz="0" w:space="0" w:color="auto" w:frame="1"/>
        </w:rPr>
        <w:t>Методическое</w:t>
      </w:r>
      <w:r w:rsidRPr="004A22A7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A22A7">
        <w:rPr>
          <w:sz w:val="28"/>
          <w:szCs w:val="28"/>
          <w:bdr w:val="none" w:sz="0" w:space="0" w:color="auto" w:frame="1"/>
        </w:rPr>
        <w:t>руководство</w:t>
      </w:r>
      <w:r w:rsidRPr="004A22A7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A22A7">
        <w:rPr>
          <w:sz w:val="28"/>
          <w:szCs w:val="28"/>
          <w:bdr w:val="none" w:sz="0" w:space="0" w:color="auto" w:frame="1"/>
        </w:rPr>
        <w:t>для</w:t>
      </w:r>
      <w:r w:rsidRPr="004A22A7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A22A7">
        <w:rPr>
          <w:sz w:val="28"/>
          <w:szCs w:val="28"/>
          <w:bdr w:val="none" w:sz="0" w:space="0" w:color="auto" w:frame="1"/>
        </w:rPr>
        <w:t>врачей</w:t>
      </w:r>
      <w:r w:rsidRPr="004A22A7">
        <w:rPr>
          <w:sz w:val="28"/>
          <w:szCs w:val="28"/>
          <w:bdr w:val="none" w:sz="0" w:space="0" w:color="auto" w:frame="1"/>
          <w:lang w:val="en-US"/>
        </w:rPr>
        <w:t xml:space="preserve">. </w:t>
      </w:r>
      <w:r w:rsidR="004A22A7" w:rsidRPr="004A22A7">
        <w:rPr>
          <w:sz w:val="28"/>
          <w:szCs w:val="28"/>
          <w:bdr w:val="none" w:sz="0" w:space="0" w:color="auto" w:frame="1"/>
        </w:rPr>
        <w:t>Москва, 2015</w:t>
      </w:r>
      <w:r w:rsidRPr="004A22A7">
        <w:rPr>
          <w:sz w:val="28"/>
          <w:szCs w:val="28"/>
          <w:bdr w:val="none" w:sz="0" w:space="0" w:color="auto" w:frame="1"/>
        </w:rPr>
        <w:t>. – 75с.</w:t>
      </w:r>
    </w:p>
    <w:p w:rsidR="00DF3D9B" w:rsidRPr="004A22A7" w:rsidRDefault="00DF3D9B" w:rsidP="00A56632">
      <w:pPr>
        <w:pStyle w:val="par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  <w:bdr w:val="none" w:sz="0" w:space="0" w:color="auto" w:frame="1"/>
        </w:rPr>
      </w:pPr>
      <w:r w:rsidRPr="004A22A7">
        <w:rPr>
          <w:sz w:val="28"/>
          <w:szCs w:val="28"/>
          <w:bdr w:val="none" w:sz="0" w:space="0" w:color="auto" w:frame="1"/>
        </w:rPr>
        <w:t>Национальные рекомендации. Хроническая болезнь почек: основные принципы скрининга, диагностики, профилактики и подходы к лечению</w:t>
      </w:r>
      <w:r w:rsidRPr="004A22A7">
        <w:rPr>
          <w:sz w:val="28"/>
          <w:szCs w:val="28"/>
        </w:rPr>
        <w:t xml:space="preserve"> / </w:t>
      </w:r>
      <w:r w:rsidRPr="004A22A7">
        <w:rPr>
          <w:sz w:val="28"/>
          <w:szCs w:val="28"/>
          <w:bdr w:val="none" w:sz="0" w:space="0" w:color="auto" w:frame="1"/>
        </w:rPr>
        <w:t>Рабочая группа членов Правления Научного общества нефрологов России. Коллектив авторов</w:t>
      </w:r>
      <w:r w:rsidRPr="004A22A7">
        <w:rPr>
          <w:sz w:val="28"/>
          <w:szCs w:val="28"/>
        </w:rPr>
        <w:t xml:space="preserve"> (</w:t>
      </w:r>
      <w:r w:rsidRPr="004A22A7">
        <w:rPr>
          <w:sz w:val="28"/>
          <w:szCs w:val="28"/>
          <w:bdr w:val="none" w:sz="0" w:space="0" w:color="auto" w:frame="1"/>
        </w:rPr>
        <w:t>руководитель группы А.В. Смирнов).  // «Издательств</w:t>
      </w:r>
      <w:r w:rsidR="004A22A7" w:rsidRPr="004A22A7">
        <w:rPr>
          <w:sz w:val="28"/>
          <w:szCs w:val="28"/>
          <w:bdr w:val="none" w:sz="0" w:space="0" w:color="auto" w:frame="1"/>
        </w:rPr>
        <w:t>о «Левша. Санкт-Петербург», 2018</w:t>
      </w:r>
      <w:r w:rsidRPr="004A22A7">
        <w:rPr>
          <w:sz w:val="28"/>
          <w:szCs w:val="28"/>
          <w:bdr w:val="none" w:sz="0" w:space="0" w:color="auto" w:frame="1"/>
        </w:rPr>
        <w:t xml:space="preserve">. - 51 </w:t>
      </w:r>
      <w:r w:rsidRPr="004A22A7">
        <w:rPr>
          <w:sz w:val="28"/>
          <w:szCs w:val="28"/>
          <w:bdr w:val="none" w:sz="0" w:space="0" w:color="auto" w:frame="1"/>
          <w:lang w:val="en-US"/>
        </w:rPr>
        <w:t>c</w:t>
      </w:r>
      <w:r w:rsidRPr="004A22A7">
        <w:rPr>
          <w:sz w:val="28"/>
          <w:szCs w:val="28"/>
          <w:bdr w:val="none" w:sz="0" w:space="0" w:color="auto" w:frame="1"/>
        </w:rPr>
        <w:t>.</w:t>
      </w:r>
    </w:p>
    <w:p w:rsidR="00DF3D9B" w:rsidRPr="004A22A7" w:rsidRDefault="00DF3D9B" w:rsidP="00A56632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bookmarkStart w:id="34" w:name="1000049428"/>
      <w:bookmarkStart w:id="35" w:name="1000049423"/>
      <w:bookmarkStart w:id="36" w:name="1000049424"/>
      <w:bookmarkEnd w:id="34"/>
      <w:bookmarkEnd w:id="35"/>
      <w:bookmarkEnd w:id="36"/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KDIGO, 2012. Clinical Practice Guideline for the Evaluation and Management of Chronic Kidney Disease. Kidney Int Suppl. 2013; 3:1-136.</w:t>
      </w:r>
    </w:p>
    <w:p w:rsidR="00DF3D9B" w:rsidRPr="004A22A7" w:rsidRDefault="00DF3D9B" w:rsidP="00A56632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A22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National Kidney Foundation.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K/DOQI clinical practice guidelines for chronic kidney disease: evaluation, classification, and stratification. Am J Kidney Dis. 2002; 39:2 Suppl 1S1-266.</w:t>
      </w:r>
    </w:p>
    <w:p w:rsidR="00DF3D9B" w:rsidRPr="004A22A7" w:rsidRDefault="00DF3D9B" w:rsidP="00A56632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4A22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United States Renal Data System.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 United States Renal Data System 2010 Annual Data Report: Atlas of Chronic Kidney Disease and End-Stage Renal Disease in the United States. Bethesda, MD: National Institutes of Health, National Institute of Diabetes and Digestive Kidney</w:t>
      </w: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Diseases; 2010. Accessed at</w:t>
      </w:r>
      <w:r w:rsidRPr="004A22A7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 </w:t>
      </w:r>
      <w:hyperlink r:id="rId26" w:tgtFrame="_blank" w:history="1">
        <w:r w:rsidRPr="004A22A7">
          <w:rPr>
            <w:rStyle w:val="a4"/>
            <w:rFonts w:ascii="Times New Roman" w:hAnsi="Times New Roman" w:cs="Times New Roman"/>
            <w:i/>
            <w:iCs/>
            <w:color w:val="006699"/>
            <w:sz w:val="28"/>
            <w:szCs w:val="28"/>
            <w:bdr w:val="none" w:sz="0" w:space="0" w:color="auto" w:frame="1"/>
            <w:lang w:val="en-US"/>
          </w:rPr>
          <w:t>www.usrds.org/atlas10.aspx</w:t>
        </w:r>
      </w:hyperlink>
      <w:r w:rsidRPr="004A22A7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="004A22A7"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on 10 October 2017</w:t>
      </w:r>
      <w:r w:rsidRPr="004A2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DF3D9B" w:rsidRPr="004A22A7" w:rsidRDefault="00DF3D9B" w:rsidP="00A56632">
      <w:pPr>
        <w:shd w:val="clear" w:color="auto" w:fill="FFFFFF"/>
        <w:spacing w:line="240" w:lineRule="auto"/>
        <w:ind w:left="-1080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2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08723F" w:rsidRPr="00DF3D9B" w:rsidRDefault="0008723F" w:rsidP="00A56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723F" w:rsidRPr="00DF3D9B" w:rsidSect="000F463E">
      <w:footerReference w:type="default" r:id="rId2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28" w:rsidRDefault="00E61B28" w:rsidP="00A56632">
      <w:pPr>
        <w:spacing w:after="0" w:line="240" w:lineRule="auto"/>
      </w:pPr>
      <w:r>
        <w:separator/>
      </w:r>
    </w:p>
  </w:endnote>
  <w:endnote w:type="continuationSeparator" w:id="0">
    <w:p w:rsidR="00E61B28" w:rsidRDefault="00E61B28" w:rsidP="00A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506427"/>
      <w:docPartObj>
        <w:docPartGallery w:val="Page Numbers (Bottom of Page)"/>
        <w:docPartUnique/>
      </w:docPartObj>
    </w:sdtPr>
    <w:sdtContent>
      <w:p w:rsidR="00A56632" w:rsidRDefault="00A566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6632" w:rsidRDefault="00A566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28" w:rsidRDefault="00E61B28" w:rsidP="00A56632">
      <w:pPr>
        <w:spacing w:after="0" w:line="240" w:lineRule="auto"/>
      </w:pPr>
      <w:r>
        <w:separator/>
      </w:r>
    </w:p>
  </w:footnote>
  <w:footnote w:type="continuationSeparator" w:id="0">
    <w:p w:rsidR="00E61B28" w:rsidRDefault="00E61B28" w:rsidP="00A5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D5C"/>
    <w:multiLevelType w:val="multilevel"/>
    <w:tmpl w:val="5A5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2C1"/>
    <w:multiLevelType w:val="multilevel"/>
    <w:tmpl w:val="B0E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5EB4"/>
    <w:multiLevelType w:val="multilevel"/>
    <w:tmpl w:val="F4A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4309"/>
    <w:multiLevelType w:val="multilevel"/>
    <w:tmpl w:val="D42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A448D"/>
    <w:multiLevelType w:val="multilevel"/>
    <w:tmpl w:val="1F9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86BEB"/>
    <w:multiLevelType w:val="multilevel"/>
    <w:tmpl w:val="C3E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C44C5"/>
    <w:multiLevelType w:val="multilevel"/>
    <w:tmpl w:val="DB4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A2376"/>
    <w:multiLevelType w:val="multilevel"/>
    <w:tmpl w:val="44F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6221A"/>
    <w:multiLevelType w:val="multilevel"/>
    <w:tmpl w:val="0E9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F1C7D"/>
    <w:multiLevelType w:val="hybridMultilevel"/>
    <w:tmpl w:val="46FE0B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79A0A76"/>
    <w:multiLevelType w:val="multilevel"/>
    <w:tmpl w:val="076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72327"/>
    <w:multiLevelType w:val="multilevel"/>
    <w:tmpl w:val="B12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670A0"/>
    <w:multiLevelType w:val="hybridMultilevel"/>
    <w:tmpl w:val="95DC84EC"/>
    <w:lvl w:ilvl="0" w:tplc="5AA4D09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26B38"/>
    <w:multiLevelType w:val="multilevel"/>
    <w:tmpl w:val="1B8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F3289"/>
    <w:multiLevelType w:val="hybridMultilevel"/>
    <w:tmpl w:val="FB5E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558AB"/>
    <w:multiLevelType w:val="multilevel"/>
    <w:tmpl w:val="E4EC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C28B1"/>
    <w:multiLevelType w:val="hybridMultilevel"/>
    <w:tmpl w:val="80D6F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CAC2CEC"/>
    <w:multiLevelType w:val="multilevel"/>
    <w:tmpl w:val="1E3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F"/>
    <w:rsid w:val="0008723F"/>
    <w:rsid w:val="004A22A7"/>
    <w:rsid w:val="00A56632"/>
    <w:rsid w:val="00B80B7D"/>
    <w:rsid w:val="00DF3D9B"/>
    <w:rsid w:val="00DF566D"/>
    <w:rsid w:val="00E61B28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2DBA-79F3-4623-AA8D-BAFB496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9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872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72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F3D9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3D9B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87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723F"/>
    <w:rPr>
      <w:color w:val="0000FF"/>
      <w:u w:val="single"/>
    </w:rPr>
  </w:style>
  <w:style w:type="character" w:customStyle="1" w:styleId="symbol">
    <w:name w:val="symbol"/>
    <w:basedOn w:val="a0"/>
    <w:rsid w:val="0008723F"/>
  </w:style>
  <w:style w:type="character" w:customStyle="1" w:styleId="genericdrug">
    <w:name w:val="genericdrug"/>
    <w:basedOn w:val="a0"/>
    <w:rsid w:val="0008723F"/>
  </w:style>
  <w:style w:type="table" w:styleId="a5">
    <w:name w:val="Table Grid"/>
    <w:basedOn w:val="a1"/>
    <w:rsid w:val="0008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7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DF3D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F3D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 Знак Знак Знак Знак"/>
    <w:basedOn w:val="a"/>
    <w:rsid w:val="00DF3D9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F3D9B"/>
  </w:style>
  <w:style w:type="paragraph" w:customStyle="1" w:styleId="para">
    <w:name w:val="para"/>
    <w:basedOn w:val="a"/>
    <w:rsid w:val="00DF3D9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customStyle="1" w:styleId="year">
    <w:name w:val="year"/>
    <w:basedOn w:val="a0"/>
    <w:rsid w:val="00DF3D9B"/>
  </w:style>
  <w:style w:type="character" w:styleId="a7">
    <w:name w:val="Emphasis"/>
    <w:qFormat/>
    <w:rsid w:val="00DF3D9B"/>
    <w:rPr>
      <w:i/>
      <w:iCs/>
    </w:rPr>
  </w:style>
  <w:style w:type="character" w:styleId="a8">
    <w:name w:val="Strong"/>
    <w:qFormat/>
    <w:rsid w:val="00DF3D9B"/>
    <w:rPr>
      <w:b/>
      <w:bCs/>
    </w:rPr>
  </w:style>
  <w:style w:type="character" w:customStyle="1" w:styleId="pubmedlink">
    <w:name w:val="pubmedlink"/>
    <w:basedOn w:val="a0"/>
    <w:rsid w:val="00DF3D9B"/>
  </w:style>
  <w:style w:type="character" w:customStyle="1" w:styleId="crossrefdoi">
    <w:name w:val="crossrefdoi"/>
    <w:basedOn w:val="a0"/>
    <w:rsid w:val="00DF3D9B"/>
  </w:style>
  <w:style w:type="character" w:customStyle="1" w:styleId="lblsubtitle2">
    <w:name w:val="lblsubtitle2"/>
    <w:basedOn w:val="a0"/>
    <w:rsid w:val="00DF3D9B"/>
  </w:style>
  <w:style w:type="character" w:customStyle="1" w:styleId="lblsubtitle3">
    <w:name w:val="lblsubtitle3"/>
    <w:basedOn w:val="a0"/>
    <w:rsid w:val="00DF3D9B"/>
  </w:style>
  <w:style w:type="paragraph" w:styleId="a9">
    <w:name w:val="List Paragraph"/>
    <w:basedOn w:val="a"/>
    <w:qFormat/>
    <w:rsid w:val="00DF3D9B"/>
    <w:pPr>
      <w:ind w:left="720"/>
      <w:contextualSpacing/>
    </w:pPr>
    <w:rPr>
      <w:rFonts w:cs="Times New Roman"/>
    </w:rPr>
  </w:style>
  <w:style w:type="paragraph" w:customStyle="1" w:styleId="Standard">
    <w:name w:val="Standard"/>
    <w:rsid w:val="004A22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a">
    <w:name w:val="TOC Heading"/>
    <w:basedOn w:val="1"/>
    <w:next w:val="a"/>
    <w:uiPriority w:val="39"/>
    <w:unhideWhenUsed/>
    <w:qFormat/>
    <w:rsid w:val="004A22A7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A22A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A22A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31">
    <w:name w:val="toc 3"/>
    <w:basedOn w:val="a"/>
    <w:next w:val="a"/>
    <w:autoRedefine/>
    <w:uiPriority w:val="39"/>
    <w:unhideWhenUsed/>
    <w:rsid w:val="004A22A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b">
    <w:name w:val="header"/>
    <w:basedOn w:val="a"/>
    <w:link w:val="ac"/>
    <w:uiPriority w:val="99"/>
    <w:unhideWhenUsed/>
    <w:rsid w:val="00A5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632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A5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632"/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6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article.aspx?articleid=1757302" TargetMode="External"/><Relationship Id="rId13" Type="http://schemas.openxmlformats.org/officeDocument/2006/relationships/hyperlink" Target="http://www.uspreventiveservicestaskforce.org/uspstf12/kidney/ckdfinalrs.htm" TargetMode="External"/><Relationship Id="rId18" Type="http://schemas.openxmlformats.org/officeDocument/2006/relationships/hyperlink" Target="http://annals.org/article.aspx?articleid=1757302" TargetMode="External"/><Relationship Id="rId26" Type="http://schemas.openxmlformats.org/officeDocument/2006/relationships/hyperlink" Target="http://www.usrds.org/atlas10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annals.org/article.aspx?articleid=17573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nals.org/article.aspx?articleid=1757302" TargetMode="External"/><Relationship Id="rId17" Type="http://schemas.openxmlformats.org/officeDocument/2006/relationships/hyperlink" Target="http://annals.org/article.aspx?articleid=1757302" TargetMode="External"/><Relationship Id="rId25" Type="http://schemas.openxmlformats.org/officeDocument/2006/relationships/hyperlink" Target="http://annals.org/article.aspx?articleID=1691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nals.org/article.aspx?articleid=1757302" TargetMode="External"/><Relationship Id="rId20" Type="http://schemas.openxmlformats.org/officeDocument/2006/relationships/hyperlink" Target="http://annals.org/article.aspx?articleid=1757302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nals.org/article.aspx?articleid=1757302" TargetMode="External"/><Relationship Id="rId24" Type="http://schemas.openxmlformats.org/officeDocument/2006/relationships/hyperlink" Target="http://annals.org/article.aspx?articleID=1691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nals.org/article.aspx?articleid=1757302" TargetMode="External"/><Relationship Id="rId23" Type="http://schemas.openxmlformats.org/officeDocument/2006/relationships/hyperlink" Target="http://annals.org/article.aspx?articleID=16917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nals.org/article.aspx?articleid=1757302" TargetMode="External"/><Relationship Id="rId19" Type="http://schemas.openxmlformats.org/officeDocument/2006/relationships/hyperlink" Target="http://annals.org/article.aspx?articleid=1757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als.org/article.aspx?articleid=1757302" TargetMode="External"/><Relationship Id="rId14" Type="http://schemas.openxmlformats.org/officeDocument/2006/relationships/hyperlink" Target="http://annals.org/article.aspx?articleid=1757302" TargetMode="External"/><Relationship Id="rId22" Type="http://schemas.openxmlformats.org/officeDocument/2006/relationships/hyperlink" Target="http://annals.org/article.aspx?articleid=175730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8"/>
    <w:rsid w:val="00090301"/>
    <w:rsid w:val="004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C8331EEC1F49CC811103AD73B50B48">
    <w:name w:val="DDC8331EEC1F49CC811103AD73B50B48"/>
    <w:rsid w:val="00475A48"/>
  </w:style>
  <w:style w:type="paragraph" w:customStyle="1" w:styleId="D4ED80AC01244611BF77FED2AE67C4D7">
    <w:name w:val="D4ED80AC01244611BF77FED2AE67C4D7"/>
    <w:rsid w:val="00475A48"/>
  </w:style>
  <w:style w:type="paragraph" w:customStyle="1" w:styleId="8B19B1AE62404FA0992AEEA512640CFB">
    <w:name w:val="8B19B1AE62404FA0992AEEA512640CFB"/>
    <w:rsid w:val="0047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73F1-83AE-436E-A552-B491515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Гемодиализ пост</dc:creator>
  <cp:keywords/>
  <dc:description/>
  <cp:lastModifiedBy>Гемодиализ пост</cp:lastModifiedBy>
  <cp:revision>2</cp:revision>
  <cp:lastPrinted>2019-12-04T16:08:00Z</cp:lastPrinted>
  <dcterms:created xsi:type="dcterms:W3CDTF">2019-12-04T16:12:00Z</dcterms:created>
  <dcterms:modified xsi:type="dcterms:W3CDTF">2019-12-04T16:12:00Z</dcterms:modified>
</cp:coreProperties>
</file>