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D43" w:rsidRDefault="00B5503C">
      <w:pPr>
        <w:pStyle w:val="a5"/>
        <w:spacing w:before="73" w:line="259" w:lineRule="auto"/>
        <w:ind w:left="1126" w:right="1092" w:hanging="1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 высшего образования «Красноярский государственный медицинский университет</w:t>
      </w:r>
      <w:r>
        <w:rPr>
          <w:spacing w:val="-7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профессора</w:t>
      </w:r>
      <w:r>
        <w:rPr>
          <w:spacing w:val="-8"/>
        </w:rPr>
        <w:t xml:space="preserve"> </w:t>
      </w:r>
      <w:r>
        <w:t>В.Ф.</w:t>
      </w:r>
      <w:r>
        <w:rPr>
          <w:spacing w:val="-7"/>
        </w:rPr>
        <w:t xml:space="preserve"> </w:t>
      </w:r>
      <w:proofErr w:type="spellStart"/>
      <w:r>
        <w:t>Войно-Ясенецкого</w:t>
      </w:r>
      <w:proofErr w:type="spellEnd"/>
      <w:r>
        <w:t>»</w:t>
      </w:r>
      <w:r>
        <w:rPr>
          <w:spacing w:val="-7"/>
        </w:rPr>
        <w:t xml:space="preserve"> </w:t>
      </w:r>
      <w:r>
        <w:t xml:space="preserve">Министерства </w:t>
      </w:r>
      <w:proofErr w:type="spellStart"/>
      <w:r>
        <w:t>здравоохранений</w:t>
      </w:r>
      <w:proofErr w:type="spellEnd"/>
      <w:r>
        <w:t xml:space="preserve"> России</w:t>
      </w:r>
    </w:p>
    <w:p w:rsidR="00057D43" w:rsidRDefault="00057D43">
      <w:pPr>
        <w:pStyle w:val="a5"/>
        <w:spacing w:before="23"/>
        <w:ind w:left="0"/>
        <w:jc w:val="left"/>
      </w:pPr>
    </w:p>
    <w:p w:rsidR="00057D43" w:rsidRDefault="00B5503C">
      <w:pPr>
        <w:pStyle w:val="a5"/>
        <w:ind w:left="36" w:right="5"/>
        <w:jc w:val="center"/>
      </w:pPr>
      <w:r>
        <w:t>Кафедра</w:t>
      </w:r>
      <w:r>
        <w:rPr>
          <w:spacing w:val="-6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курсом</w:t>
      </w:r>
      <w:r>
        <w:rPr>
          <w:spacing w:val="-2"/>
        </w:rPr>
        <w:t xml:space="preserve"> </w:t>
      </w:r>
      <w:r>
        <w:rPr>
          <w:spacing w:val="-5"/>
        </w:rPr>
        <w:t>ПО</w:t>
      </w: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spacing w:before="86"/>
        <w:ind w:left="0"/>
        <w:jc w:val="left"/>
      </w:pPr>
    </w:p>
    <w:p w:rsidR="00057D43" w:rsidRDefault="00B5503C">
      <w:pPr>
        <w:pStyle w:val="a5"/>
        <w:spacing w:line="259" w:lineRule="auto"/>
        <w:ind w:left="5963" w:right="105" w:firstLine="2033"/>
        <w:jc w:val="right"/>
      </w:pPr>
      <w:r>
        <w:t>Зав.</w:t>
      </w:r>
      <w:r>
        <w:rPr>
          <w:spacing w:val="-15"/>
        </w:rPr>
        <w:t xml:space="preserve"> </w:t>
      </w:r>
      <w:r>
        <w:t>кафедрой: д.м.н,</w:t>
      </w:r>
      <w:r>
        <w:rPr>
          <w:spacing w:val="-4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r>
        <w:t>Прокопенко</w:t>
      </w:r>
      <w:r>
        <w:rPr>
          <w:spacing w:val="-4"/>
        </w:rPr>
        <w:t xml:space="preserve"> С.В.</w:t>
      </w: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spacing w:before="187"/>
        <w:ind w:left="0"/>
        <w:jc w:val="left"/>
      </w:pPr>
    </w:p>
    <w:p w:rsidR="00057D43" w:rsidRDefault="00B5503C">
      <w:pPr>
        <w:pStyle w:val="a5"/>
        <w:ind w:left="36" w:right="6"/>
        <w:jc w:val="center"/>
      </w:pPr>
      <w:r>
        <w:rPr>
          <w:spacing w:val="-2"/>
        </w:rPr>
        <w:t>Реферат</w:t>
      </w:r>
    </w:p>
    <w:p w:rsidR="00057D43" w:rsidRDefault="00B5503C">
      <w:pPr>
        <w:pStyle w:val="a5"/>
        <w:spacing w:before="140"/>
        <w:ind w:left="36"/>
        <w:jc w:val="center"/>
      </w:pPr>
      <w:r>
        <w:t>на</w:t>
      </w:r>
      <w:r>
        <w:rPr>
          <w:spacing w:val="-5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t>«</w:t>
      </w:r>
      <w:proofErr w:type="spellStart"/>
      <w:r>
        <w:t>Кластерная</w:t>
      </w:r>
      <w:proofErr w:type="spellEnd"/>
      <w:r>
        <w:rPr>
          <w:spacing w:val="-3"/>
        </w:rPr>
        <w:t xml:space="preserve"> </w:t>
      </w:r>
      <w:r>
        <w:t>головная</w:t>
      </w:r>
      <w:r>
        <w:rPr>
          <w:spacing w:val="-3"/>
        </w:rPr>
        <w:t xml:space="preserve"> </w:t>
      </w:r>
      <w:r>
        <w:rPr>
          <w:spacing w:val="-2"/>
        </w:rPr>
        <w:t>боль»</w:t>
      </w: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spacing w:before="70"/>
        <w:ind w:left="0"/>
        <w:jc w:val="left"/>
      </w:pPr>
    </w:p>
    <w:p w:rsidR="00057D43" w:rsidRDefault="00B5503C">
      <w:pPr>
        <w:pStyle w:val="a5"/>
        <w:spacing w:line="259" w:lineRule="auto"/>
        <w:ind w:left="6723" w:right="103" w:firstLine="1536"/>
        <w:jc w:val="right"/>
      </w:pPr>
      <w:r>
        <w:rPr>
          <w:spacing w:val="-2"/>
        </w:rPr>
        <w:t>Выполнил</w:t>
      </w:r>
      <w:r>
        <w:rPr>
          <w:spacing w:val="-2"/>
        </w:rPr>
        <w:t xml:space="preserve">: </w:t>
      </w:r>
      <w:r>
        <w:t>ординатор</w:t>
      </w:r>
      <w:r>
        <w:rPr>
          <w:spacing w:val="-1"/>
        </w:rPr>
        <w:t xml:space="preserve"> 2 </w:t>
      </w:r>
      <w:r>
        <w:t>года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057D43" w:rsidRDefault="00B5503C">
      <w:pPr>
        <w:pStyle w:val="a5"/>
        <w:spacing w:line="259" w:lineRule="auto"/>
        <w:ind w:left="5807" w:right="107" w:hanging="492"/>
        <w:jc w:val="right"/>
      </w:pPr>
      <w:r>
        <w:t>кафедры</w:t>
      </w:r>
      <w:r>
        <w:rPr>
          <w:spacing w:val="-8"/>
        </w:rPr>
        <w:t xml:space="preserve"> </w:t>
      </w:r>
      <w:r>
        <w:t>нервных</w:t>
      </w:r>
      <w:r>
        <w:rPr>
          <w:spacing w:val="-7"/>
        </w:rPr>
        <w:t xml:space="preserve"> </w:t>
      </w:r>
      <w:r>
        <w:t>болезней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курсом</w:t>
      </w:r>
      <w:r>
        <w:rPr>
          <w:spacing w:val="-8"/>
        </w:rPr>
        <w:t xml:space="preserve"> </w:t>
      </w:r>
      <w:r>
        <w:t>ПО специальности</w:t>
      </w:r>
      <w:r>
        <w:rPr>
          <w:spacing w:val="-4"/>
        </w:rPr>
        <w:t xml:space="preserve"> </w:t>
      </w:r>
      <w:r>
        <w:t>31.08.42</w:t>
      </w:r>
      <w:r>
        <w:rPr>
          <w:spacing w:val="-6"/>
        </w:rPr>
        <w:t xml:space="preserve"> </w:t>
      </w:r>
      <w:r>
        <w:rPr>
          <w:spacing w:val="-2"/>
        </w:rPr>
        <w:t>Неврология</w:t>
      </w:r>
    </w:p>
    <w:p w:rsidR="00057D43" w:rsidRDefault="00B5503C">
      <w:pPr>
        <w:pStyle w:val="a5"/>
        <w:spacing w:line="275" w:lineRule="exact"/>
        <w:ind w:left="0" w:right="110"/>
        <w:jc w:val="right"/>
      </w:pPr>
      <w:r>
        <w:rPr>
          <w:spacing w:val="-4"/>
        </w:rPr>
        <w:t>Чмыхало С.В.</w:t>
      </w: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spacing w:before="136"/>
        <w:ind w:left="0"/>
        <w:jc w:val="left"/>
      </w:pPr>
    </w:p>
    <w:p w:rsidR="00057D43" w:rsidRDefault="00B5503C">
      <w:pPr>
        <w:pStyle w:val="a5"/>
        <w:spacing w:before="1"/>
        <w:ind w:left="36" w:right="3"/>
        <w:jc w:val="center"/>
      </w:pPr>
      <w:r>
        <w:t>Красноярск,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:rsidR="00057D43" w:rsidRDefault="00057D43">
      <w:pPr>
        <w:sectPr w:rsidR="00057D43">
          <w:pgSz w:w="11906" w:h="16838"/>
          <w:pgMar w:top="1040" w:right="740" w:bottom="280" w:left="1560" w:header="0" w:footer="0" w:gutter="0"/>
          <w:cols w:space="720"/>
          <w:formProt w:val="0"/>
        </w:sectPr>
      </w:pPr>
    </w:p>
    <w:p w:rsidR="00057D43" w:rsidRDefault="00B5503C">
      <w:pPr>
        <w:pStyle w:val="1"/>
        <w:spacing w:before="73"/>
        <w:ind w:left="142" w:firstLine="0"/>
        <w:jc w:val="left"/>
      </w:pPr>
      <w:r>
        <w:rPr>
          <w:spacing w:val="-2"/>
        </w:rPr>
        <w:lastRenderedPageBreak/>
        <w:t>Содержание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40"/>
        <w:ind w:left="861" w:hanging="499"/>
        <w:jc w:val="left"/>
        <w:rPr>
          <w:sz w:val="24"/>
        </w:rPr>
      </w:pPr>
      <w:r>
        <w:rPr>
          <w:spacing w:val="-2"/>
          <w:sz w:val="24"/>
        </w:rPr>
        <w:t>Введение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37"/>
        <w:ind w:left="861" w:hanging="580"/>
        <w:jc w:val="left"/>
        <w:rPr>
          <w:sz w:val="24"/>
        </w:rPr>
      </w:pPr>
      <w:r>
        <w:rPr>
          <w:sz w:val="24"/>
        </w:rPr>
        <w:t>Этиология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патогенез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39"/>
        <w:ind w:left="861" w:hanging="659"/>
        <w:jc w:val="left"/>
        <w:rPr>
          <w:sz w:val="24"/>
        </w:rPr>
      </w:pPr>
      <w:r>
        <w:rPr>
          <w:spacing w:val="-2"/>
          <w:sz w:val="24"/>
        </w:rPr>
        <w:t>Классификация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37"/>
        <w:ind w:left="861" w:hanging="674"/>
        <w:jc w:val="left"/>
        <w:rPr>
          <w:sz w:val="24"/>
        </w:rPr>
      </w:pPr>
      <w:r>
        <w:rPr>
          <w:spacing w:val="-2"/>
          <w:sz w:val="24"/>
        </w:rPr>
        <w:t>Клиника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39"/>
        <w:ind w:left="861" w:hanging="592"/>
        <w:jc w:val="left"/>
        <w:rPr>
          <w:sz w:val="24"/>
        </w:rPr>
      </w:pPr>
      <w:r>
        <w:rPr>
          <w:spacing w:val="-2"/>
          <w:sz w:val="24"/>
        </w:rPr>
        <w:t>Диагностика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37"/>
        <w:ind w:left="861" w:hanging="674"/>
        <w:jc w:val="left"/>
        <w:rPr>
          <w:sz w:val="24"/>
        </w:rPr>
      </w:pPr>
      <w:r>
        <w:rPr>
          <w:spacing w:val="-2"/>
          <w:sz w:val="24"/>
        </w:rPr>
        <w:t>Лечение</w:t>
      </w:r>
    </w:p>
    <w:p w:rsidR="00057D43" w:rsidRDefault="00B5503C">
      <w:pPr>
        <w:pStyle w:val="a9"/>
        <w:numPr>
          <w:ilvl w:val="0"/>
          <w:numId w:val="2"/>
        </w:numPr>
        <w:tabs>
          <w:tab w:val="left" w:pos="861"/>
        </w:tabs>
        <w:spacing w:before="139"/>
        <w:ind w:left="861" w:hanging="753"/>
        <w:jc w:val="left"/>
        <w:rPr>
          <w:sz w:val="24"/>
        </w:rPr>
      </w:pPr>
      <w:r>
        <w:rPr>
          <w:spacing w:val="-2"/>
          <w:sz w:val="24"/>
        </w:rPr>
        <w:t>Список использованной литературы</w:t>
      </w:r>
    </w:p>
    <w:p w:rsidR="00057D43" w:rsidRDefault="00057D43">
      <w:pPr>
        <w:pStyle w:val="a9"/>
        <w:tabs>
          <w:tab w:val="left" w:pos="861"/>
        </w:tabs>
        <w:spacing w:before="139"/>
        <w:ind w:left="861" w:firstLine="0"/>
        <w:jc w:val="left"/>
        <w:rPr>
          <w:sz w:val="24"/>
        </w:rPr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</w:p>
    <w:p w:rsidR="00057D43" w:rsidRDefault="00B5503C">
      <w:pPr>
        <w:pStyle w:val="1"/>
        <w:numPr>
          <w:ilvl w:val="1"/>
          <w:numId w:val="2"/>
        </w:numPr>
        <w:tabs>
          <w:tab w:val="left" w:pos="1063"/>
        </w:tabs>
        <w:spacing w:before="73"/>
        <w:ind w:hanging="213"/>
        <w:jc w:val="center"/>
      </w:pPr>
      <w:r>
        <w:rPr>
          <w:spacing w:val="-2"/>
        </w:rPr>
        <w:lastRenderedPageBreak/>
        <w:t>Введение</w:t>
      </w:r>
    </w:p>
    <w:p w:rsidR="00057D43" w:rsidRDefault="00B5503C">
      <w:pPr>
        <w:pStyle w:val="a5"/>
        <w:spacing w:before="140" w:line="360" w:lineRule="auto"/>
        <w:ind w:right="103" w:firstLine="707"/>
      </w:pPr>
      <w:proofErr w:type="spellStart"/>
      <w:r>
        <w:t>Кластерная</w:t>
      </w:r>
      <w:proofErr w:type="spellEnd"/>
      <w:r>
        <w:t xml:space="preserve"> (пучковая) головная боль (КлГБ) является одной из </w:t>
      </w:r>
      <w:r>
        <w:t xml:space="preserve">наиболее мучительных форм первичных </w:t>
      </w:r>
      <w:proofErr w:type="spellStart"/>
      <w:r>
        <w:t>цефалалгий</w:t>
      </w:r>
      <w:proofErr w:type="spellEnd"/>
      <w:r>
        <w:t xml:space="preserve"> и встречается редко по сравнению с такими заболеваниями, как мигрень и ГБ напряжения. По предположению, первое известное документальное описание пучковой ГБ (ПГБ) было сделано </w:t>
      </w:r>
      <w:proofErr w:type="spellStart"/>
      <w:r>
        <w:t>Gerardi</w:t>
      </w:r>
      <w:proofErr w:type="spellEnd"/>
      <w:r>
        <w:t xml:space="preserve"> van </w:t>
      </w:r>
      <w:proofErr w:type="spellStart"/>
      <w:r>
        <w:t>Swieten</w:t>
      </w:r>
      <w:proofErr w:type="spellEnd"/>
      <w:r>
        <w:t xml:space="preserve"> в 1745 г. ПГБ</w:t>
      </w:r>
      <w:r>
        <w:t xml:space="preserve"> ранее рассматривали как вариант </w:t>
      </w:r>
      <w:proofErr w:type="spellStart"/>
      <w:r>
        <w:t>мигренозной</w:t>
      </w:r>
      <w:proofErr w:type="spellEnd"/>
      <w:r>
        <w:t xml:space="preserve"> ГБ. A. Harris в 1936 г., обратив внимание на ее односторонний характер и относительно короткую длительность, впервые выделил этот тип боли в особую форму — </w:t>
      </w:r>
      <w:proofErr w:type="spellStart"/>
      <w:r>
        <w:t>мигренозную</w:t>
      </w:r>
      <w:proofErr w:type="spellEnd"/>
      <w:r>
        <w:t xml:space="preserve"> невралгию (невралгия Харриса).</w:t>
      </w:r>
    </w:p>
    <w:p w:rsidR="00057D43" w:rsidRDefault="00B5503C">
      <w:pPr>
        <w:pStyle w:val="a5"/>
        <w:spacing w:line="360" w:lineRule="auto"/>
        <w:ind w:right="105"/>
      </w:pPr>
      <w:r>
        <w:t>B.</w:t>
      </w:r>
      <w:r>
        <w:rPr>
          <w:spacing w:val="-11"/>
        </w:rPr>
        <w:t xml:space="preserve"> </w:t>
      </w:r>
      <w:r>
        <w:t>Horton</w:t>
      </w:r>
      <w:r>
        <w:rPr>
          <w:spacing w:val="-10"/>
        </w:rPr>
        <w:t xml:space="preserve"> </w:t>
      </w:r>
      <w:r>
        <w:t>(1</w:t>
      </w:r>
      <w:r>
        <w:t>939),</w:t>
      </w:r>
      <w:r>
        <w:rPr>
          <w:spacing w:val="-11"/>
        </w:rPr>
        <w:t xml:space="preserve"> </w:t>
      </w:r>
      <w:r>
        <w:t>описавший</w:t>
      </w:r>
      <w:r>
        <w:rPr>
          <w:spacing w:val="-10"/>
        </w:rPr>
        <w:t xml:space="preserve"> </w:t>
      </w:r>
      <w:r>
        <w:t>многие</w:t>
      </w:r>
      <w:r>
        <w:rPr>
          <w:spacing w:val="-12"/>
        </w:rPr>
        <w:t xml:space="preserve"> </w:t>
      </w:r>
      <w:r>
        <w:t>клинические</w:t>
      </w:r>
      <w:r>
        <w:rPr>
          <w:spacing w:val="-12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«нового</w:t>
      </w:r>
      <w:r>
        <w:rPr>
          <w:spacing w:val="-11"/>
        </w:rPr>
        <w:t xml:space="preserve"> </w:t>
      </w:r>
      <w:r>
        <w:t>синдрома</w:t>
      </w:r>
      <w:r>
        <w:rPr>
          <w:spacing w:val="-7"/>
        </w:rPr>
        <w:t xml:space="preserve"> </w:t>
      </w:r>
      <w:r>
        <w:t>сосудистой</w:t>
      </w:r>
      <w:r>
        <w:rPr>
          <w:spacing w:val="-9"/>
        </w:rPr>
        <w:t xml:space="preserve"> </w:t>
      </w:r>
      <w:r>
        <w:t>ГБ», обратил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способность </w:t>
      </w:r>
      <w:proofErr w:type="spellStart"/>
      <w:r>
        <w:t>гистамина</w:t>
      </w:r>
      <w:proofErr w:type="spellEnd"/>
      <w:r>
        <w:rPr>
          <w:spacing w:val="-4"/>
        </w:rPr>
        <w:t xml:space="preserve"> </w:t>
      </w:r>
      <w:r>
        <w:t>провоцировать этот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ГБ,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она также получила название «</w:t>
      </w:r>
      <w:proofErr w:type="spellStart"/>
      <w:r>
        <w:t>гистаминовая</w:t>
      </w:r>
      <w:proofErr w:type="spellEnd"/>
      <w:r>
        <w:t xml:space="preserve"> </w:t>
      </w:r>
      <w:proofErr w:type="spellStart"/>
      <w:r>
        <w:t>цефалгия</w:t>
      </w:r>
      <w:proofErr w:type="spellEnd"/>
      <w:r>
        <w:t>», или «</w:t>
      </w:r>
      <w:proofErr w:type="spellStart"/>
      <w:r>
        <w:t>Хортоновская</w:t>
      </w:r>
      <w:proofErr w:type="spellEnd"/>
      <w:r>
        <w:t xml:space="preserve"> головная боль».</w:t>
      </w:r>
    </w:p>
    <w:p w:rsidR="00057D43" w:rsidRDefault="00B5503C">
      <w:pPr>
        <w:pStyle w:val="a5"/>
        <w:spacing w:before="1" w:line="360" w:lineRule="auto"/>
        <w:ind w:right="105" w:firstLine="707"/>
      </w:pPr>
      <w:r>
        <w:t>Впервые терм</w:t>
      </w:r>
      <w:r>
        <w:t xml:space="preserve">ин «кластер» использовал M. </w:t>
      </w:r>
      <w:proofErr w:type="spellStart"/>
      <w:r>
        <w:t>Kunkle</w:t>
      </w:r>
      <w:proofErr w:type="spellEnd"/>
      <w:r>
        <w:t xml:space="preserve"> (1952) для обозначения периодичности серий атак боли при этом заболевании. Заслуга выделения в отдельную клиническую форму ПГБ и описания характерных клинических признаков принадлежит норвежскому исследователю О. </w:t>
      </w:r>
      <w:proofErr w:type="spellStart"/>
      <w:r>
        <w:t>Sjaastad</w:t>
      </w:r>
      <w:proofErr w:type="spellEnd"/>
      <w:r>
        <w:t>. Именно его исследования легли в основу диагностических критериев, в последующем использованных в Международной классификации ГБ 1988 и 2004 гг.</w:t>
      </w:r>
    </w:p>
    <w:p w:rsidR="00057D43" w:rsidRDefault="00B5503C">
      <w:pPr>
        <w:pStyle w:val="a5"/>
        <w:spacing w:line="360" w:lineRule="auto"/>
        <w:ind w:right="104" w:firstLine="707"/>
      </w:pPr>
      <w:r>
        <w:t xml:space="preserve">КлГБ – редкое заболевание, но его точная распространенность остается </w:t>
      </w:r>
      <w:proofErr w:type="spellStart"/>
      <w:r>
        <w:t>дискутабельной</w:t>
      </w:r>
      <w:proofErr w:type="spellEnd"/>
      <w:r>
        <w:t xml:space="preserve"> вследствие значительной </w:t>
      </w:r>
      <w:proofErr w:type="spellStart"/>
      <w:r>
        <w:t>ва</w:t>
      </w:r>
      <w:r>
        <w:t>риабельности</w:t>
      </w:r>
      <w:proofErr w:type="spellEnd"/>
      <w:r>
        <w:t xml:space="preserve"> предполагаемой распространенности. Последние исследования предполагают, что распространение КлГБ составляет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крайней</w:t>
      </w:r>
      <w:r>
        <w:rPr>
          <w:spacing w:val="-14"/>
        </w:rPr>
        <w:t xml:space="preserve"> </w:t>
      </w:r>
      <w:r>
        <w:t>мере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500</w:t>
      </w:r>
      <w:r>
        <w:rPr>
          <w:spacing w:val="-12"/>
        </w:rPr>
        <w:t xml:space="preserve"> </w:t>
      </w:r>
      <w:r>
        <w:t>человек.</w:t>
      </w:r>
      <w:r>
        <w:rPr>
          <w:spacing w:val="-12"/>
        </w:rPr>
        <w:t xml:space="preserve"> </w:t>
      </w:r>
      <w:r>
        <w:t>КлГБ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привержены</w:t>
      </w:r>
      <w:r>
        <w:rPr>
          <w:spacing w:val="-15"/>
        </w:rPr>
        <w:t xml:space="preserve"> </w:t>
      </w:r>
      <w:r>
        <w:t>мужчины.</w:t>
      </w:r>
      <w:r>
        <w:rPr>
          <w:spacing w:val="-15"/>
        </w:rPr>
        <w:t xml:space="preserve"> </w:t>
      </w:r>
      <w:proofErr w:type="spellStart"/>
      <w:r>
        <w:t>Гендерное</w:t>
      </w:r>
      <w:proofErr w:type="spellEnd"/>
      <w:r>
        <w:t xml:space="preserve"> соотношение в различных описаниях серии случаев </w:t>
      </w:r>
      <w:r>
        <w:t>меняется между 2,5:1 и 7,2:1. Начало симптомов обычно встречается между 20 и 40 годами жизни, хотя о КлГБ сообщалось во всех возрастных группах. КлГБ у детей встречается редко, но несколько таких случаев описано у самых маленьких пациентов в возрасте 3 лет</w:t>
      </w:r>
      <w:r>
        <w:t>.</w:t>
      </w:r>
    </w:p>
    <w:p w:rsidR="00057D43" w:rsidRDefault="00057D43">
      <w:pPr>
        <w:pStyle w:val="a5"/>
        <w:spacing w:before="137"/>
        <w:ind w:left="0"/>
        <w:jc w:val="left"/>
      </w:pPr>
    </w:p>
    <w:p w:rsidR="00057D43" w:rsidRDefault="00B5503C">
      <w:pPr>
        <w:pStyle w:val="1"/>
        <w:numPr>
          <w:ilvl w:val="1"/>
          <w:numId w:val="2"/>
        </w:numPr>
        <w:tabs>
          <w:tab w:val="left" w:pos="1156"/>
        </w:tabs>
        <w:spacing w:before="1"/>
        <w:ind w:left="1156" w:hanging="306"/>
        <w:jc w:val="center"/>
      </w:pPr>
      <w:r>
        <w:t>Этиология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патогенез</w:t>
      </w:r>
    </w:p>
    <w:p w:rsidR="00057D43" w:rsidRDefault="00B5503C">
      <w:pPr>
        <w:pStyle w:val="a5"/>
        <w:spacing w:before="139" w:line="360" w:lineRule="auto"/>
        <w:ind w:right="104" w:firstLine="707"/>
      </w:pPr>
      <w:r>
        <w:t>Точная</w:t>
      </w:r>
      <w:r>
        <w:rPr>
          <w:spacing w:val="-8"/>
        </w:rPr>
        <w:t xml:space="preserve"> </w:t>
      </w:r>
      <w:r>
        <w:t>причина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КГБ</w:t>
      </w:r>
      <w:r>
        <w:rPr>
          <w:spacing w:val="-8"/>
        </w:rPr>
        <w:t xml:space="preserve"> </w:t>
      </w:r>
      <w:r>
        <w:t>неизвестна.</w:t>
      </w:r>
      <w:r>
        <w:rPr>
          <w:spacing w:val="-8"/>
        </w:rPr>
        <w:t xml:space="preserve"> </w:t>
      </w:r>
      <w:r>
        <w:t>Расстройство</w:t>
      </w:r>
      <w:r>
        <w:rPr>
          <w:spacing w:val="-8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 xml:space="preserve">спорадический характер, хотя и были зарегистрированы редкие случаи </w:t>
      </w:r>
      <w:proofErr w:type="spellStart"/>
      <w:r>
        <w:t>аутосомно-доминантного</w:t>
      </w:r>
      <w:proofErr w:type="spellEnd"/>
      <w:r>
        <w:t xml:space="preserve"> </w:t>
      </w:r>
      <w:proofErr w:type="spellStart"/>
      <w:r>
        <w:t>наследования</w:t>
      </w:r>
      <w:proofErr w:type="spellEnd"/>
      <w:r>
        <w:t xml:space="preserve"> в пределах одной семьи.</w:t>
      </w:r>
    </w:p>
    <w:p w:rsidR="00057D43" w:rsidRDefault="00B5503C">
      <w:pPr>
        <w:pStyle w:val="2"/>
        <w:spacing w:line="275" w:lineRule="exact"/>
        <w:ind w:left="910"/>
      </w:pPr>
      <w:r>
        <w:t>Факторы</w:t>
      </w:r>
      <w:r>
        <w:rPr>
          <w:spacing w:val="-2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КГБ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себя: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before="140"/>
        <w:rPr>
          <w:sz w:val="24"/>
        </w:rPr>
      </w:pPr>
      <w:r>
        <w:rPr>
          <w:sz w:val="24"/>
        </w:rPr>
        <w:t>мужской</w:t>
      </w:r>
      <w:r>
        <w:rPr>
          <w:spacing w:val="-4"/>
          <w:sz w:val="24"/>
        </w:rPr>
        <w:t xml:space="preserve"> пол;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before="136"/>
        <w:rPr>
          <w:sz w:val="24"/>
        </w:rPr>
      </w:pP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4"/>
          <w:sz w:val="24"/>
        </w:rPr>
        <w:t>лет;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before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вазодилататоров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алкоголя);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before="136"/>
        <w:jc w:val="left"/>
        <w:rPr>
          <w:sz w:val="24"/>
        </w:rPr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предыдущая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вмешательство.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before="73"/>
        <w:rPr>
          <w:sz w:val="24"/>
        </w:rPr>
      </w:pPr>
      <w:r>
        <w:rPr>
          <w:sz w:val="24"/>
        </w:rPr>
        <w:lastRenderedPageBreak/>
        <w:t>Подкожное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гистамина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вызывало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69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пациентов.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81"/>
        </w:tabs>
        <w:spacing w:before="140" w:line="360" w:lineRule="auto"/>
        <w:ind w:left="142" w:right="105" w:firstLine="707"/>
        <w:rPr>
          <w:sz w:val="24"/>
        </w:rPr>
      </w:pPr>
      <w:r>
        <w:rPr>
          <w:sz w:val="24"/>
        </w:rPr>
        <w:t>Стресс,</w:t>
      </w:r>
      <w:r>
        <w:rPr>
          <w:spacing w:val="-12"/>
          <w:sz w:val="24"/>
        </w:rPr>
        <w:t xml:space="preserve"> </w:t>
      </w:r>
      <w:r>
        <w:rPr>
          <w:sz w:val="24"/>
        </w:rPr>
        <w:t>аллергены,</w:t>
      </w:r>
      <w:r>
        <w:rPr>
          <w:spacing w:val="-12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(чаще</w:t>
      </w:r>
      <w:r>
        <w:rPr>
          <w:spacing w:val="-9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12"/>
          <w:sz w:val="24"/>
        </w:rPr>
        <w:t xml:space="preserve"> </w:t>
      </w:r>
      <w:r>
        <w:rPr>
          <w:sz w:val="24"/>
        </w:rPr>
        <w:t>весной или осенью) или прием сосудорасширяющих препаратов, таких как нитроглицерин, также вызывали приступы КГБ у некоторых пациентов.</w:t>
      </w:r>
    </w:p>
    <w:p w:rsidR="00057D43" w:rsidRDefault="00B5503C">
      <w:pPr>
        <w:pStyle w:val="a5"/>
        <w:spacing w:line="360" w:lineRule="auto"/>
        <w:ind w:right="105" w:firstLine="707"/>
      </w:pPr>
      <w:r>
        <w:t>Около 80 % пациентов с КГБ являлись заядлыми курил</w:t>
      </w:r>
      <w:r>
        <w:t xml:space="preserve">ьщиками, а 50 % имели в </w:t>
      </w:r>
      <w:proofErr w:type="spellStart"/>
      <w:r>
        <w:t>анамнезе</w:t>
      </w:r>
      <w:proofErr w:type="spellEnd"/>
      <w:r>
        <w:rPr>
          <w:spacing w:val="-12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алкоголем.</w:t>
      </w:r>
      <w:r>
        <w:rPr>
          <w:spacing w:val="-9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отметить,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провоцирующее</w:t>
      </w:r>
      <w:r>
        <w:rPr>
          <w:spacing w:val="-14"/>
        </w:rPr>
        <w:t xml:space="preserve"> </w:t>
      </w:r>
      <w:r>
        <w:t>действие</w:t>
      </w:r>
      <w:r>
        <w:rPr>
          <w:spacing w:val="-12"/>
        </w:rPr>
        <w:t xml:space="preserve"> </w:t>
      </w:r>
      <w:r>
        <w:t>названных выше веществ реализуется лишь в период болевого пучка, усугубляя его, и полностью отсутствует во время ремиссии.</w:t>
      </w:r>
    </w:p>
    <w:p w:rsidR="00057D43" w:rsidRDefault="00B5503C">
      <w:pPr>
        <w:pStyle w:val="a5"/>
        <w:spacing w:line="360" w:lineRule="auto"/>
        <w:ind w:right="107" w:firstLine="707"/>
      </w:pPr>
      <w:r>
        <w:t>Установлено,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атака</w:t>
      </w:r>
      <w:r>
        <w:rPr>
          <w:spacing w:val="-15"/>
        </w:rPr>
        <w:t xml:space="preserve"> </w:t>
      </w:r>
      <w:r>
        <w:t>ПГБ,</w:t>
      </w:r>
      <w:r>
        <w:rPr>
          <w:spacing w:val="-15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же,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приступ</w:t>
      </w:r>
      <w:r>
        <w:rPr>
          <w:spacing w:val="-15"/>
        </w:rPr>
        <w:t xml:space="preserve"> </w:t>
      </w:r>
      <w:r>
        <w:t>мигрени,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 xml:space="preserve">участии </w:t>
      </w:r>
      <w:proofErr w:type="spellStart"/>
      <w:r>
        <w:t>тригемино-васкулярных</w:t>
      </w:r>
      <w:proofErr w:type="spellEnd"/>
      <w:r>
        <w:t xml:space="preserve"> механизмов.</w:t>
      </w:r>
    </w:p>
    <w:p w:rsidR="00057D43" w:rsidRDefault="00B5503C">
      <w:pPr>
        <w:pStyle w:val="a5"/>
        <w:spacing w:line="360" w:lineRule="auto"/>
        <w:ind w:right="102" w:firstLine="707"/>
      </w:pPr>
      <w:r>
        <w:t>Общими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ГБ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процессы,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активация</w:t>
      </w:r>
      <w:r>
        <w:rPr>
          <w:spacing w:val="-15"/>
        </w:rPr>
        <w:t xml:space="preserve"> </w:t>
      </w:r>
      <w:proofErr w:type="spellStart"/>
      <w:r>
        <w:t>тригеминальных</w:t>
      </w:r>
      <w:proofErr w:type="spellEnd"/>
      <w:r>
        <w:t xml:space="preserve"> </w:t>
      </w:r>
      <w:proofErr w:type="spellStart"/>
      <w:r>
        <w:t>ноцицептивных</w:t>
      </w:r>
      <w:proofErr w:type="spellEnd"/>
      <w:r>
        <w:t xml:space="preserve"> путей, сопровождающихся выделением из окончаний </w:t>
      </w:r>
      <w:proofErr w:type="spellStart"/>
      <w:r>
        <w:t>тригемино</w:t>
      </w:r>
      <w:proofErr w:type="spellEnd"/>
      <w:r>
        <w:t xml:space="preserve">- </w:t>
      </w:r>
      <w:proofErr w:type="spellStart"/>
      <w:r>
        <w:t>васкулярных</w:t>
      </w:r>
      <w:proofErr w:type="spellEnd"/>
      <w:r>
        <w:t xml:space="preserve"> волокон </w:t>
      </w:r>
      <w:r>
        <w:t xml:space="preserve">болевых </w:t>
      </w:r>
      <w:proofErr w:type="spellStart"/>
      <w:r>
        <w:t>нейропептидов</w:t>
      </w:r>
      <w:proofErr w:type="spellEnd"/>
      <w:r>
        <w:t xml:space="preserve"> (</w:t>
      </w:r>
      <w:proofErr w:type="spellStart"/>
      <w:r>
        <w:t>кальцитонин</w:t>
      </w:r>
      <w:proofErr w:type="spellEnd"/>
      <w:r>
        <w:t>-</w:t>
      </w:r>
      <w:proofErr w:type="spellStart"/>
      <w:r>
        <w:t>генсвязанного</w:t>
      </w:r>
      <w:proofErr w:type="spellEnd"/>
      <w:r>
        <w:t xml:space="preserve"> пептида) с последующей </w:t>
      </w:r>
      <w:proofErr w:type="spellStart"/>
      <w:r>
        <w:t>вазодилатацией</w:t>
      </w:r>
      <w:proofErr w:type="spellEnd"/>
      <w:r>
        <w:t xml:space="preserve">, а также </w:t>
      </w:r>
      <w:proofErr w:type="spellStart"/>
      <w:r>
        <w:t>нейрогенное</w:t>
      </w:r>
      <w:proofErr w:type="spellEnd"/>
      <w:r>
        <w:t xml:space="preserve"> воспаление стенки сосуда.</w:t>
      </w:r>
    </w:p>
    <w:p w:rsidR="00057D43" w:rsidRDefault="00B5503C">
      <w:pPr>
        <w:pStyle w:val="a5"/>
        <w:spacing w:line="360" w:lineRule="auto"/>
        <w:ind w:right="105" w:firstLine="707"/>
      </w:pPr>
      <w:r>
        <w:t xml:space="preserve">Таким образом, в настоящее время считается, что расширение </w:t>
      </w:r>
      <w:proofErr w:type="spellStart"/>
      <w:r>
        <w:t>глазничной</w:t>
      </w:r>
      <w:proofErr w:type="spellEnd"/>
      <w:r>
        <w:t xml:space="preserve"> артерии возникает на фоне боли и поэтому носит втори</w:t>
      </w:r>
      <w:r>
        <w:t xml:space="preserve">чный характер. Эффект от воздействия </w:t>
      </w:r>
      <w:proofErr w:type="spellStart"/>
      <w:r>
        <w:t>вазоактивных</w:t>
      </w:r>
      <w:proofErr w:type="spellEnd"/>
      <w:r>
        <w:t xml:space="preserve"> веществ при КлГБ (</w:t>
      </w:r>
      <w:proofErr w:type="spellStart"/>
      <w:r>
        <w:t>вазодилататоры</w:t>
      </w:r>
      <w:proofErr w:type="spellEnd"/>
      <w:r>
        <w:t xml:space="preserve"> обусловливают возникновение боли, вазоконстрикторы – завершение приступа) свидетельствует в пользу данной теории. Наличие вегетативных проявлений на стороне боли (</w:t>
      </w:r>
      <w:proofErr w:type="spellStart"/>
      <w:r>
        <w:t>слезотечен</w:t>
      </w:r>
      <w:r>
        <w:t>ие</w:t>
      </w:r>
      <w:proofErr w:type="spellEnd"/>
      <w:r>
        <w:t xml:space="preserve">, </w:t>
      </w:r>
      <w:proofErr w:type="spellStart"/>
      <w:r>
        <w:t>ринорея</w:t>
      </w:r>
      <w:proofErr w:type="spellEnd"/>
      <w:r>
        <w:t xml:space="preserve">) является следствием активации </w:t>
      </w:r>
      <w:proofErr w:type="spellStart"/>
      <w:r>
        <w:t>краниальной</w:t>
      </w:r>
      <w:proofErr w:type="spellEnd"/>
      <w:r>
        <w:t xml:space="preserve"> </w:t>
      </w:r>
      <w:proofErr w:type="spellStart"/>
      <w:r>
        <w:t>парасимпатической</w:t>
      </w:r>
      <w:proofErr w:type="spellEnd"/>
      <w:r>
        <w:t xml:space="preserve"> системы. Частичный симптом </w:t>
      </w:r>
      <w:proofErr w:type="spellStart"/>
      <w:r>
        <w:t>Горнера</w:t>
      </w:r>
      <w:proofErr w:type="spellEnd"/>
      <w:r>
        <w:t xml:space="preserve"> (птоз и/или </w:t>
      </w:r>
      <w:proofErr w:type="spellStart"/>
      <w:r>
        <w:t>миоз</w:t>
      </w:r>
      <w:proofErr w:type="spellEnd"/>
      <w:r>
        <w:t xml:space="preserve">), возникающий много реже во время приступа, чем перечисленные локальные </w:t>
      </w:r>
      <w:proofErr w:type="spellStart"/>
      <w:r>
        <w:t>парасимпатические</w:t>
      </w:r>
      <w:proofErr w:type="spellEnd"/>
      <w:r>
        <w:t xml:space="preserve"> симптомы, обусловлен компрессией симпатич</w:t>
      </w:r>
      <w:r>
        <w:t>еских волокон, расширенной во время приступа сонной артерией.</w:t>
      </w:r>
    </w:p>
    <w:p w:rsidR="00057D43" w:rsidRDefault="00B5503C">
      <w:pPr>
        <w:pStyle w:val="a5"/>
        <w:spacing w:before="2" w:line="360" w:lineRule="auto"/>
        <w:ind w:right="103" w:firstLine="707"/>
      </w:pPr>
      <w:r>
        <w:t>Ритмичность</w:t>
      </w:r>
      <w:r>
        <w:rPr>
          <w:spacing w:val="-3"/>
        </w:rPr>
        <w:t xml:space="preserve"> </w:t>
      </w:r>
      <w:r>
        <w:t>обострений,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биоритмов,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тесная</w:t>
      </w:r>
      <w:r>
        <w:rPr>
          <w:spacing w:val="-4"/>
        </w:rPr>
        <w:t xml:space="preserve"> </w:t>
      </w:r>
      <w:r>
        <w:t>связь атак с периодом ночного сна указывают на участие в патогенезе КлГБ гипоталамуса, играющего роль «биологических час</w:t>
      </w:r>
      <w:r>
        <w:t>ов». Еще одним доказательством «</w:t>
      </w:r>
      <w:proofErr w:type="spellStart"/>
      <w:r>
        <w:t>гипоталамической</w:t>
      </w:r>
      <w:proofErr w:type="spellEnd"/>
      <w:r>
        <w:t xml:space="preserve"> теории» патогенеза КлГБ является тот факт, что в период боли у пациентов нарушается секреция кортизола, </w:t>
      </w:r>
      <w:proofErr w:type="spellStart"/>
      <w:r>
        <w:t>тестостерона</w:t>
      </w:r>
      <w:proofErr w:type="spellEnd"/>
      <w:r>
        <w:t xml:space="preserve">, </w:t>
      </w:r>
      <w:proofErr w:type="spellStart"/>
      <w:r>
        <w:t>пролактина</w:t>
      </w:r>
      <w:proofErr w:type="spellEnd"/>
      <w:r>
        <w:t xml:space="preserve">, выработка которых регулируется </w:t>
      </w:r>
      <w:proofErr w:type="spellStart"/>
      <w:r>
        <w:t>супрахиазмальным</w:t>
      </w:r>
      <w:proofErr w:type="spellEnd"/>
      <w:r>
        <w:t xml:space="preserve"> ядром гипоталамуса, а также ф</w:t>
      </w:r>
      <w:r>
        <w:t xml:space="preserve">иксируются нарушения </w:t>
      </w:r>
      <w:proofErr w:type="spellStart"/>
      <w:r>
        <w:t>циркадных</w:t>
      </w:r>
      <w:proofErr w:type="spellEnd"/>
      <w:r>
        <w:t xml:space="preserve"> колебаний</w:t>
      </w:r>
      <w:r>
        <w:rPr>
          <w:spacing w:val="-2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вегетативных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(температуры</w:t>
      </w:r>
      <w:r>
        <w:rPr>
          <w:spacing w:val="-2"/>
        </w:rPr>
        <w:t xml:space="preserve"> </w:t>
      </w:r>
      <w:r>
        <w:t>тела, артериального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др.).</w:t>
      </w:r>
    </w:p>
    <w:p w:rsidR="00057D43" w:rsidRDefault="00B5503C">
      <w:pPr>
        <w:pStyle w:val="a5"/>
        <w:spacing w:before="1" w:line="360" w:lineRule="auto"/>
        <w:ind w:right="107" w:firstLine="707"/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 xml:space="preserve">Кроме того, проведенные исследования показали, что задние отделы гипоталамуса </w:t>
      </w:r>
      <w:proofErr w:type="spellStart"/>
      <w:r>
        <w:t>активируются</w:t>
      </w:r>
      <w:proofErr w:type="spellEnd"/>
      <w:r>
        <w:t xml:space="preserve"> на </w:t>
      </w:r>
      <w:proofErr w:type="spellStart"/>
      <w:r>
        <w:t>позитронной</w:t>
      </w:r>
      <w:proofErr w:type="spellEnd"/>
      <w:r>
        <w:t xml:space="preserve"> эмис</w:t>
      </w:r>
      <w:r>
        <w:t xml:space="preserve">сионной томографии у пациентов с КлГБ во время приступов. Выраженное </w:t>
      </w:r>
      <w:proofErr w:type="spellStart"/>
      <w:r>
        <w:t>психомоторное</w:t>
      </w:r>
      <w:proofErr w:type="spellEnd"/>
      <w:r>
        <w:t xml:space="preserve"> беспокойство и аффективные расстройства во время атаки могут свидетельствовать об участии </w:t>
      </w:r>
      <w:proofErr w:type="spellStart"/>
      <w:r>
        <w:t>лимбических</w:t>
      </w:r>
      <w:proofErr w:type="spellEnd"/>
      <w:r>
        <w:t xml:space="preserve"> структур.</w:t>
      </w:r>
    </w:p>
    <w:p w:rsidR="00057D43" w:rsidRDefault="00B5503C">
      <w:pPr>
        <w:pStyle w:val="a5"/>
        <w:spacing w:before="73" w:line="360" w:lineRule="auto"/>
        <w:ind w:right="105" w:firstLine="707"/>
      </w:pPr>
      <w:r>
        <w:lastRenderedPageBreak/>
        <w:t xml:space="preserve">Таким образом, дисфункция на </w:t>
      </w:r>
      <w:proofErr w:type="spellStart"/>
      <w:r>
        <w:t>гипоталамическом</w:t>
      </w:r>
      <w:proofErr w:type="spellEnd"/>
      <w:r>
        <w:t xml:space="preserve"> уровне рассматр</w:t>
      </w:r>
      <w:r>
        <w:t xml:space="preserve">ивается как основное первичное звено патогенеза КлГБ, а активация </w:t>
      </w:r>
      <w:proofErr w:type="spellStart"/>
      <w:r>
        <w:t>тригемино-васкулярной</w:t>
      </w:r>
      <w:proofErr w:type="spellEnd"/>
      <w:r>
        <w:t xml:space="preserve"> и </w:t>
      </w:r>
      <w:proofErr w:type="spellStart"/>
      <w:r>
        <w:t>парасимпатической</w:t>
      </w:r>
      <w:proofErr w:type="spellEnd"/>
      <w:r>
        <w:t xml:space="preserve"> систем – как вторичные механизмы, непосредственно реализующие болевые и вегетативные проявления атаки.</w:t>
      </w:r>
    </w:p>
    <w:p w:rsidR="00057D43" w:rsidRDefault="00057D43">
      <w:pPr>
        <w:pStyle w:val="a5"/>
        <w:spacing w:before="140"/>
        <w:ind w:left="0"/>
        <w:jc w:val="left"/>
      </w:pPr>
    </w:p>
    <w:p w:rsidR="00057D43" w:rsidRDefault="00B5503C">
      <w:pPr>
        <w:pStyle w:val="1"/>
        <w:numPr>
          <w:ilvl w:val="1"/>
          <w:numId w:val="2"/>
        </w:numPr>
        <w:tabs>
          <w:tab w:val="left" w:pos="1250"/>
        </w:tabs>
        <w:ind w:left="1250" w:hanging="400"/>
        <w:jc w:val="center"/>
      </w:pPr>
      <w:r>
        <w:rPr>
          <w:spacing w:val="-2"/>
        </w:rPr>
        <w:t>Классификация</w:t>
      </w:r>
    </w:p>
    <w:p w:rsidR="00057D43" w:rsidRDefault="00B5503C">
      <w:pPr>
        <w:pStyle w:val="a5"/>
        <w:spacing w:before="137" w:line="360" w:lineRule="auto"/>
        <w:ind w:right="107" w:firstLine="707"/>
      </w:pPr>
      <w:r>
        <w:t>Согласно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классиф</w:t>
      </w:r>
      <w:r>
        <w:t>икации</w:t>
      </w:r>
      <w:r>
        <w:rPr>
          <w:spacing w:val="-7"/>
        </w:rPr>
        <w:t xml:space="preserve"> </w:t>
      </w:r>
      <w:r>
        <w:t>головной</w:t>
      </w:r>
      <w:r>
        <w:rPr>
          <w:spacing w:val="-5"/>
        </w:rPr>
        <w:t xml:space="preserve"> </w:t>
      </w:r>
      <w:r>
        <w:t>боли</w:t>
      </w:r>
      <w:r>
        <w:rPr>
          <w:spacing w:val="-5"/>
        </w:rPr>
        <w:t xml:space="preserve"> </w:t>
      </w:r>
      <w:r>
        <w:t>(МКГБ-3</w:t>
      </w:r>
      <w:r>
        <w:rPr>
          <w:spacing w:val="-5"/>
        </w:rPr>
        <w:t xml:space="preserve"> </w:t>
      </w:r>
      <w:r>
        <w:t>бета,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IHS), данная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относится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spellStart"/>
      <w:r>
        <w:t>тригеминально</w:t>
      </w:r>
      <w:proofErr w:type="spellEnd"/>
      <w:r>
        <w:t>-вегетативным</w:t>
      </w:r>
      <w:r>
        <w:rPr>
          <w:spacing w:val="-14"/>
        </w:rPr>
        <w:t xml:space="preserve"> </w:t>
      </w:r>
      <w:r>
        <w:t>(автономным)</w:t>
      </w:r>
      <w:r>
        <w:rPr>
          <w:spacing w:val="-15"/>
        </w:rPr>
        <w:t xml:space="preserve"> </w:t>
      </w:r>
      <w:proofErr w:type="spellStart"/>
      <w:r>
        <w:t>цефалгиям</w:t>
      </w:r>
      <w:proofErr w:type="spellEnd"/>
      <w:r>
        <w:t>,</w:t>
      </w:r>
      <w:r>
        <w:rPr>
          <w:spacing w:val="-14"/>
        </w:rPr>
        <w:t xml:space="preserve"> </w:t>
      </w:r>
      <w:r>
        <w:t>занимая третью рубрику, в которую помимо нее входят:</w:t>
      </w:r>
    </w:p>
    <w:p w:rsidR="00057D43" w:rsidRDefault="00B5503C">
      <w:pPr>
        <w:pStyle w:val="a9"/>
        <w:numPr>
          <w:ilvl w:val="0"/>
          <w:numId w:val="1"/>
        </w:numPr>
        <w:tabs>
          <w:tab w:val="left" w:pos="1569"/>
        </w:tabs>
        <w:spacing w:before="1"/>
        <w:ind w:left="1569" w:hanging="359"/>
        <w:jc w:val="left"/>
        <w:rPr>
          <w:sz w:val="24"/>
        </w:rPr>
      </w:pPr>
      <w:proofErr w:type="spellStart"/>
      <w:r>
        <w:rPr>
          <w:sz w:val="24"/>
        </w:rPr>
        <w:t>пароксизмальная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гемикрания</w:t>
      </w:r>
      <w:proofErr w:type="spellEnd"/>
      <w:r>
        <w:rPr>
          <w:spacing w:val="-2"/>
          <w:sz w:val="24"/>
        </w:rPr>
        <w:t>;</w:t>
      </w:r>
    </w:p>
    <w:p w:rsidR="00057D43" w:rsidRDefault="00B5503C">
      <w:pPr>
        <w:pStyle w:val="a9"/>
        <w:numPr>
          <w:ilvl w:val="0"/>
          <w:numId w:val="1"/>
        </w:numPr>
        <w:tabs>
          <w:tab w:val="left" w:pos="1570"/>
          <w:tab w:val="left" w:pos="3608"/>
          <w:tab w:val="left" w:pos="5431"/>
          <w:tab w:val="left" w:pos="6628"/>
          <w:tab w:val="left" w:pos="7384"/>
          <w:tab w:val="left" w:pos="7772"/>
        </w:tabs>
        <w:spacing w:before="138" w:line="360" w:lineRule="auto"/>
        <w:ind w:right="113"/>
        <w:jc w:val="left"/>
        <w:rPr>
          <w:sz w:val="24"/>
        </w:rPr>
      </w:pPr>
      <w:r>
        <w:rPr>
          <w:spacing w:val="-2"/>
          <w:sz w:val="24"/>
        </w:rPr>
        <w:t>кратковременная</w:t>
      </w:r>
      <w:r>
        <w:rPr>
          <w:sz w:val="24"/>
        </w:rPr>
        <w:tab/>
      </w:r>
      <w:r>
        <w:rPr>
          <w:spacing w:val="-2"/>
          <w:sz w:val="24"/>
        </w:rPr>
        <w:t>односторонняя</w:t>
      </w:r>
      <w:r>
        <w:rPr>
          <w:sz w:val="24"/>
        </w:rPr>
        <w:tab/>
      </w:r>
      <w:r>
        <w:rPr>
          <w:spacing w:val="-2"/>
          <w:sz w:val="24"/>
        </w:rPr>
        <w:t>головная</w:t>
      </w:r>
      <w:r>
        <w:rPr>
          <w:sz w:val="24"/>
        </w:rPr>
        <w:tab/>
      </w:r>
      <w:r>
        <w:rPr>
          <w:spacing w:val="-4"/>
          <w:sz w:val="24"/>
        </w:rPr>
        <w:t>боль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инъецированием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конъюнктивы и </w:t>
      </w:r>
      <w:proofErr w:type="spellStart"/>
      <w:r>
        <w:rPr>
          <w:sz w:val="24"/>
        </w:rPr>
        <w:t>слезотечением</w:t>
      </w:r>
      <w:proofErr w:type="spellEnd"/>
      <w:r>
        <w:rPr>
          <w:sz w:val="24"/>
        </w:rPr>
        <w:t xml:space="preserve"> (КОНКС, SUNCT-синдром);</w:t>
      </w:r>
    </w:p>
    <w:p w:rsidR="00057D43" w:rsidRDefault="00B5503C">
      <w:pPr>
        <w:pStyle w:val="a9"/>
        <w:numPr>
          <w:ilvl w:val="0"/>
          <w:numId w:val="1"/>
        </w:numPr>
        <w:tabs>
          <w:tab w:val="left" w:pos="1569"/>
        </w:tabs>
        <w:ind w:left="1569" w:hanging="359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тригеминальные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вегетативные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цефалгии</w:t>
      </w:r>
      <w:proofErr w:type="spellEnd"/>
      <w:r>
        <w:rPr>
          <w:spacing w:val="-2"/>
          <w:sz w:val="24"/>
        </w:rPr>
        <w:t>.</w:t>
      </w:r>
    </w:p>
    <w:p w:rsidR="00057D43" w:rsidRDefault="00B5503C">
      <w:pPr>
        <w:pStyle w:val="a5"/>
        <w:spacing w:before="139" w:line="360" w:lineRule="auto"/>
        <w:ind w:right="107" w:firstLine="767"/>
      </w:pPr>
      <w:proofErr w:type="spellStart"/>
      <w:r>
        <w:t>Тригеминальные</w:t>
      </w:r>
      <w:proofErr w:type="spellEnd"/>
      <w:r>
        <w:t xml:space="preserve"> вегетативные </w:t>
      </w:r>
      <w:proofErr w:type="spellStart"/>
      <w:r>
        <w:t>цефалгии</w:t>
      </w:r>
      <w:proofErr w:type="spellEnd"/>
      <w:r>
        <w:t xml:space="preserve"> (ТВЦ) сочетают в себе одновременно как черты</w:t>
      </w:r>
      <w:r>
        <w:rPr>
          <w:spacing w:val="-4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t>боли,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proofErr w:type="spellStart"/>
      <w:r>
        <w:t>парасимпатиче</w:t>
      </w:r>
      <w:r>
        <w:t>ских</w:t>
      </w:r>
      <w:proofErr w:type="spellEnd"/>
      <w:r>
        <w:rPr>
          <w:spacing w:val="-4"/>
        </w:rPr>
        <w:t xml:space="preserve"> </w:t>
      </w:r>
      <w:r>
        <w:t>волокон</w:t>
      </w:r>
      <w:r>
        <w:rPr>
          <w:spacing w:val="-4"/>
        </w:rPr>
        <w:t xml:space="preserve"> </w:t>
      </w:r>
      <w:r>
        <w:t xml:space="preserve">ЧМН. Это связано с активацией </w:t>
      </w:r>
      <w:proofErr w:type="spellStart"/>
      <w:r>
        <w:t>тригемино</w:t>
      </w:r>
      <w:proofErr w:type="spellEnd"/>
      <w:r>
        <w:t>-</w:t>
      </w:r>
      <w:proofErr w:type="spellStart"/>
      <w:r>
        <w:t>парасимпатического</w:t>
      </w:r>
      <w:proofErr w:type="spellEnd"/>
      <w:r>
        <w:t xml:space="preserve"> рефлекса, реализующегося по дуге тройничный-блуждающий нерв.</w:t>
      </w:r>
    </w:p>
    <w:p w:rsidR="00057D43" w:rsidRDefault="00B5503C">
      <w:pPr>
        <w:pStyle w:val="a5"/>
        <w:ind w:left="910"/>
      </w:pPr>
      <w:r>
        <w:t>Общими</w:t>
      </w:r>
      <w:r>
        <w:rPr>
          <w:spacing w:val="-7"/>
        </w:rPr>
        <w:t xml:space="preserve"> </w:t>
      </w:r>
      <w:r>
        <w:t>признаками</w:t>
      </w:r>
      <w:r>
        <w:rPr>
          <w:spacing w:val="-6"/>
        </w:rPr>
        <w:t xml:space="preserve"> </w:t>
      </w:r>
      <w:proofErr w:type="spellStart"/>
      <w:r>
        <w:t>тригеминальных</w:t>
      </w:r>
      <w:proofErr w:type="spellEnd"/>
      <w:r>
        <w:rPr>
          <w:spacing w:val="-6"/>
        </w:rPr>
        <w:t xml:space="preserve"> </w:t>
      </w:r>
      <w:r>
        <w:t>вегетативных</w:t>
      </w:r>
      <w:r>
        <w:rPr>
          <w:spacing w:val="-6"/>
        </w:rPr>
        <w:t xml:space="preserve"> </w:t>
      </w:r>
      <w:proofErr w:type="spellStart"/>
      <w:r>
        <w:t>цефалгий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являются:</w:t>
      </w:r>
    </w:p>
    <w:p w:rsidR="00057D43" w:rsidRDefault="00B5503C">
      <w:pPr>
        <w:pStyle w:val="a9"/>
        <w:numPr>
          <w:ilvl w:val="0"/>
          <w:numId w:val="1"/>
        </w:numPr>
        <w:tabs>
          <w:tab w:val="left" w:pos="1570"/>
        </w:tabs>
        <w:spacing w:before="137" w:line="360" w:lineRule="auto"/>
        <w:ind w:right="105"/>
        <w:rPr>
          <w:sz w:val="24"/>
        </w:rPr>
      </w:pPr>
      <w:r>
        <w:rPr>
          <w:sz w:val="24"/>
        </w:rPr>
        <w:t xml:space="preserve">Наличие четко очерченных более или менее </w:t>
      </w:r>
      <w:r>
        <w:rPr>
          <w:sz w:val="24"/>
        </w:rPr>
        <w:t xml:space="preserve">кратковременных приступов строго односторонней интенсивной головной боли, локализующейся, как правило, в орбитальной, </w:t>
      </w:r>
      <w:proofErr w:type="spellStart"/>
      <w:r>
        <w:rPr>
          <w:sz w:val="24"/>
        </w:rPr>
        <w:t>надглазничной</w:t>
      </w:r>
      <w:proofErr w:type="spellEnd"/>
      <w:r>
        <w:rPr>
          <w:sz w:val="24"/>
        </w:rPr>
        <w:t xml:space="preserve"> и/или височной области;</w:t>
      </w:r>
    </w:p>
    <w:p w:rsidR="00057D43" w:rsidRDefault="00B5503C">
      <w:pPr>
        <w:pStyle w:val="a9"/>
        <w:numPr>
          <w:ilvl w:val="0"/>
          <w:numId w:val="1"/>
        </w:numPr>
        <w:tabs>
          <w:tab w:val="left" w:pos="1570"/>
        </w:tabs>
        <w:spacing w:before="2" w:line="360" w:lineRule="auto"/>
        <w:ind w:right="106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односторонних</w:t>
      </w:r>
      <w:r>
        <w:rPr>
          <w:spacing w:val="-10"/>
          <w:sz w:val="24"/>
        </w:rPr>
        <w:t xml:space="preserve"> </w:t>
      </w:r>
      <w:r>
        <w:rPr>
          <w:sz w:val="24"/>
        </w:rPr>
        <w:t>вегетативных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боли: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инъекция конъюнктивы, </w:t>
      </w:r>
      <w:proofErr w:type="spellStart"/>
      <w:r>
        <w:rPr>
          <w:sz w:val="24"/>
        </w:rPr>
        <w:t>слезотечение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</w:t>
      </w:r>
      <w:r>
        <w:rPr>
          <w:sz w:val="24"/>
        </w:rPr>
        <w:t>ложенность</w:t>
      </w:r>
      <w:proofErr w:type="spellEnd"/>
      <w:r>
        <w:rPr>
          <w:sz w:val="24"/>
        </w:rPr>
        <w:t xml:space="preserve"> носа, </w:t>
      </w:r>
      <w:proofErr w:type="spellStart"/>
      <w:r>
        <w:rPr>
          <w:sz w:val="24"/>
        </w:rPr>
        <w:t>ринорея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миоз</w:t>
      </w:r>
      <w:proofErr w:type="spellEnd"/>
      <w:r>
        <w:rPr>
          <w:sz w:val="24"/>
        </w:rPr>
        <w:t>, легкое опущение и отек века.</w:t>
      </w:r>
    </w:p>
    <w:p w:rsidR="00057D43" w:rsidRDefault="00B5503C">
      <w:pPr>
        <w:pStyle w:val="a5"/>
        <w:spacing w:line="360" w:lineRule="auto"/>
        <w:ind w:right="105" w:firstLine="707"/>
      </w:pPr>
      <w:r>
        <w:t xml:space="preserve">Являясь формой первичной головной боли, ПГБ характеризуется периодическими, </w:t>
      </w:r>
      <w:proofErr w:type="spellStart"/>
      <w:r>
        <w:t>рецидивирующими</w:t>
      </w:r>
      <w:proofErr w:type="spellEnd"/>
      <w:r>
        <w:t xml:space="preserve"> кратковременными (продолжительностью от 15 до 180 минут) эпизодами мучительной односторонней боли в </w:t>
      </w:r>
      <w:proofErr w:type="spellStart"/>
      <w:r>
        <w:t>око</w:t>
      </w:r>
      <w:r>
        <w:t>логлазничной</w:t>
      </w:r>
      <w:proofErr w:type="spellEnd"/>
      <w:r>
        <w:t xml:space="preserve"> области с односторонней вегетативной дисфункцией на этой же стороне.</w:t>
      </w:r>
    </w:p>
    <w:p w:rsidR="00057D43" w:rsidRDefault="00B5503C">
      <w:pPr>
        <w:pStyle w:val="a5"/>
        <w:spacing w:line="360" w:lineRule="auto"/>
        <w:ind w:right="105" w:firstLine="767"/>
      </w:pPr>
      <w:r>
        <w:t xml:space="preserve">Ее распространенность колеблется от 0,5 до 1 % среди населения, с преимущественным поражением мужской половины населения, в отличие от других форм первичных </w:t>
      </w:r>
      <w:proofErr w:type="spellStart"/>
      <w:r>
        <w:t>цефалгий</w:t>
      </w:r>
      <w:proofErr w:type="spellEnd"/>
      <w:r>
        <w:t>, где жен</w:t>
      </w:r>
      <w:r>
        <w:t>щины по сравнению с мужчинами страдают чаще.</w:t>
      </w:r>
    </w:p>
    <w:p w:rsidR="00057D43" w:rsidRDefault="00B5503C">
      <w:pPr>
        <w:pStyle w:val="2"/>
        <w:ind w:left="910"/>
      </w:pPr>
      <w:r>
        <w:t>IHS</w:t>
      </w:r>
      <w:r>
        <w:rPr>
          <w:spacing w:val="-3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клинические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rPr>
          <w:spacing w:val="-4"/>
        </w:rPr>
        <w:t>КГБ: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127"/>
        </w:tabs>
        <w:spacing w:before="137" w:line="360" w:lineRule="auto"/>
        <w:ind w:left="142" w:right="107" w:firstLine="707"/>
        <w:rPr>
          <w:sz w:val="24"/>
        </w:rPr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Эпизодическая, характеризующаяся, по меньшей мере, 2 болевыми периодами продолжительностью от 7 до 365 дней, разделенными свободными от боли периодам</w:t>
      </w:r>
      <w:r>
        <w:rPr>
          <w:sz w:val="24"/>
        </w:rPr>
        <w:t>и продолжительностью&gt; 1 месяца;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263"/>
        </w:tabs>
        <w:spacing w:before="73" w:line="360" w:lineRule="auto"/>
        <w:ind w:left="142" w:right="103" w:firstLine="707"/>
        <w:rPr>
          <w:sz w:val="24"/>
        </w:rPr>
      </w:pPr>
      <w:r>
        <w:rPr>
          <w:sz w:val="24"/>
        </w:rPr>
        <w:lastRenderedPageBreak/>
        <w:t xml:space="preserve">Хроническая, которая, в отличие от </w:t>
      </w:r>
      <w:proofErr w:type="spellStart"/>
      <w:r>
        <w:rPr>
          <w:sz w:val="24"/>
        </w:rPr>
        <w:t>вышеописанной</w:t>
      </w:r>
      <w:proofErr w:type="spellEnd"/>
      <w:r>
        <w:rPr>
          <w:sz w:val="24"/>
        </w:rPr>
        <w:t>, характеризуется возникновением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приступов на протяжении 1 года и более без ремиссий или с ремиссиями, продолжительность которых &lt;1 месяца.</w:t>
      </w:r>
    </w:p>
    <w:p w:rsidR="00057D43" w:rsidRDefault="00057D43">
      <w:pPr>
        <w:pStyle w:val="a5"/>
        <w:spacing w:before="139"/>
        <w:ind w:left="0"/>
        <w:jc w:val="left"/>
      </w:pPr>
    </w:p>
    <w:p w:rsidR="00057D43" w:rsidRDefault="00B5503C">
      <w:pPr>
        <w:pStyle w:val="1"/>
        <w:numPr>
          <w:ilvl w:val="1"/>
          <w:numId w:val="2"/>
        </w:numPr>
        <w:tabs>
          <w:tab w:val="left" w:pos="1235"/>
        </w:tabs>
        <w:ind w:left="1235" w:hanging="385"/>
        <w:jc w:val="center"/>
      </w:pPr>
      <w:r>
        <w:rPr>
          <w:spacing w:val="-2"/>
        </w:rPr>
        <w:t>Клиника</w:t>
      </w:r>
    </w:p>
    <w:p w:rsidR="00057D43" w:rsidRDefault="00B5503C">
      <w:pPr>
        <w:pStyle w:val="a5"/>
        <w:spacing w:before="139" w:line="360" w:lineRule="auto"/>
        <w:ind w:right="106" w:firstLine="707"/>
      </w:pPr>
      <w:r>
        <w:t xml:space="preserve">ГБ является строго </w:t>
      </w:r>
      <w:r>
        <w:t>односторонней и лишь у 15% пациентов может наблюдаться смена стороны боли от одного пучка к другому. Боль, как правило, локализуется вокруг глаза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захватывает</w:t>
      </w:r>
      <w:r>
        <w:rPr>
          <w:spacing w:val="-15"/>
        </w:rPr>
        <w:t xml:space="preserve"> </w:t>
      </w:r>
      <w:r>
        <w:t>висок,</w:t>
      </w:r>
      <w:r>
        <w:rPr>
          <w:spacing w:val="-15"/>
        </w:rPr>
        <w:t xml:space="preserve"> </w:t>
      </w:r>
      <w:r>
        <w:t>лоб,</w:t>
      </w:r>
      <w:r>
        <w:rPr>
          <w:spacing w:val="-15"/>
        </w:rPr>
        <w:t xml:space="preserve"> </w:t>
      </w:r>
      <w:r>
        <w:t>область</w:t>
      </w:r>
      <w:r>
        <w:rPr>
          <w:spacing w:val="-15"/>
        </w:rPr>
        <w:t xml:space="preserve"> </w:t>
      </w:r>
      <w:r>
        <w:t>щеки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верхнюю</w:t>
      </w:r>
      <w:r>
        <w:rPr>
          <w:spacing w:val="-15"/>
        </w:rPr>
        <w:t xml:space="preserve"> </w:t>
      </w:r>
      <w:r>
        <w:t>челюсть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той</w:t>
      </w:r>
      <w:r>
        <w:rPr>
          <w:spacing w:val="-15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стороне.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более редких случаях боль </w:t>
      </w:r>
      <w:proofErr w:type="spellStart"/>
      <w:r>
        <w:t>ирради</w:t>
      </w:r>
      <w:r>
        <w:t>ирует</w:t>
      </w:r>
      <w:proofErr w:type="spellEnd"/>
      <w:r>
        <w:t xml:space="preserve"> в нижнюю челюсть, зубы и даже шею.</w:t>
      </w:r>
    </w:p>
    <w:p w:rsidR="00057D43" w:rsidRDefault="00B5503C">
      <w:pPr>
        <w:pStyle w:val="a5"/>
        <w:spacing w:line="360" w:lineRule="auto"/>
        <w:ind w:right="104" w:firstLine="707"/>
      </w:pPr>
      <w:r>
        <w:t xml:space="preserve">Боль при ПГБ имеет очень высокую интенсивность. Она обычно описывается в таких терминах, как сверлящая, рвущая или жгучая; пациенты сообщают об «ощущении </w:t>
      </w:r>
      <w:proofErr w:type="spellStart"/>
      <w:r>
        <w:t>выдавливания</w:t>
      </w:r>
      <w:proofErr w:type="spellEnd"/>
      <w:r>
        <w:rPr>
          <w:spacing w:val="-15"/>
        </w:rPr>
        <w:t xml:space="preserve"> </w:t>
      </w:r>
      <w:r>
        <w:t>глаза»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«раскаленной</w:t>
      </w:r>
      <w:r>
        <w:rPr>
          <w:spacing w:val="-15"/>
        </w:rPr>
        <w:t xml:space="preserve"> </w:t>
      </w:r>
      <w:r>
        <w:t>игле,</w:t>
      </w:r>
      <w:r>
        <w:rPr>
          <w:spacing w:val="-15"/>
        </w:rPr>
        <w:t xml:space="preserve"> </w:t>
      </w:r>
      <w:r>
        <w:t>воткнутой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глаз».</w:t>
      </w:r>
      <w:r>
        <w:rPr>
          <w:spacing w:val="-15"/>
        </w:rPr>
        <w:t xml:space="preserve"> </w:t>
      </w:r>
      <w:r>
        <w:t>ГБ</w:t>
      </w:r>
      <w:r>
        <w:rPr>
          <w:spacing w:val="-15"/>
        </w:rPr>
        <w:t xml:space="preserve"> </w:t>
      </w:r>
      <w:r>
        <w:t>настолько</w:t>
      </w:r>
      <w:r>
        <w:rPr>
          <w:spacing w:val="-15"/>
        </w:rPr>
        <w:t xml:space="preserve"> </w:t>
      </w:r>
      <w:r>
        <w:t xml:space="preserve">мучительна, что у большинства лиц наблюдается выраженное двигательное возбуждение и ажитация. Известны суицидальные попытки во время приступа с целью прекратить свои страдания, поэтому боль при ПГБ называют </w:t>
      </w:r>
      <w:proofErr w:type="spellStart"/>
      <w:r>
        <w:t>суицидальной</w:t>
      </w:r>
      <w:proofErr w:type="spellEnd"/>
      <w:r>
        <w:t>.</w:t>
      </w:r>
    </w:p>
    <w:p w:rsidR="00057D43" w:rsidRDefault="00B5503C">
      <w:pPr>
        <w:pStyle w:val="a5"/>
        <w:spacing w:before="1" w:line="360" w:lineRule="auto"/>
        <w:ind w:right="102" w:firstLine="707"/>
      </w:pPr>
      <w:r>
        <w:t>Хар</w:t>
      </w:r>
      <w:r>
        <w:t>актерным признаком КлГБ является вегетативное сопровождение атак на стороне</w:t>
      </w:r>
      <w:r>
        <w:rPr>
          <w:spacing w:val="-9"/>
        </w:rPr>
        <w:t xml:space="preserve"> </w:t>
      </w:r>
      <w:r>
        <w:t>боли.</w:t>
      </w:r>
      <w:r>
        <w:rPr>
          <w:spacing w:val="-8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наблюдаются</w:t>
      </w:r>
      <w:r>
        <w:rPr>
          <w:spacing w:val="-9"/>
        </w:rPr>
        <w:t xml:space="preserve"> </w:t>
      </w:r>
      <w:proofErr w:type="spellStart"/>
      <w:r>
        <w:t>слезотечение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покраснение</w:t>
      </w:r>
      <w:r>
        <w:rPr>
          <w:spacing w:val="-9"/>
        </w:rPr>
        <w:t xml:space="preserve"> </w:t>
      </w:r>
      <w:r>
        <w:t>склеры,</w:t>
      </w:r>
      <w:r>
        <w:rPr>
          <w:spacing w:val="-9"/>
        </w:rPr>
        <w:t xml:space="preserve"> </w:t>
      </w:r>
      <w:proofErr w:type="spellStart"/>
      <w:r>
        <w:t>ринорея</w:t>
      </w:r>
      <w:proofErr w:type="spellEnd"/>
      <w:r>
        <w:rPr>
          <w:spacing w:val="-8"/>
        </w:rPr>
        <w:t xml:space="preserve"> </w:t>
      </w:r>
      <w:r>
        <w:t xml:space="preserve">и </w:t>
      </w:r>
      <w:proofErr w:type="spellStart"/>
      <w:r>
        <w:t>заложенность</w:t>
      </w:r>
      <w:proofErr w:type="spellEnd"/>
      <w:r>
        <w:t xml:space="preserve"> носа. Другие симптомы (потливость и отечность лица, синдром </w:t>
      </w:r>
      <w:proofErr w:type="spellStart"/>
      <w:r>
        <w:t>Горнера</w:t>
      </w:r>
      <w:proofErr w:type="spellEnd"/>
      <w:r>
        <w:t xml:space="preserve"> и др.) встречаются го</w:t>
      </w:r>
      <w:r>
        <w:t>раздо реже.</w:t>
      </w:r>
    </w:p>
    <w:p w:rsidR="00057D43" w:rsidRDefault="00B5503C">
      <w:pPr>
        <w:pStyle w:val="a5"/>
        <w:spacing w:line="360" w:lineRule="auto"/>
        <w:ind w:right="104" w:firstLine="707"/>
      </w:pPr>
      <w:r>
        <w:t>Системные вегетативные нарушения также могут возникать во время болевого приступа. Атаки ПГБ имеют среднюю продолжительность 45–90 минут и возникают в среднем</w:t>
      </w:r>
      <w:r>
        <w:rPr>
          <w:spacing w:val="-1"/>
        </w:rPr>
        <w:t xml:space="preserve"> </w:t>
      </w:r>
      <w:r>
        <w:t>с частотой 1–3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сутки. Обычно боль возникает внезапно</w:t>
      </w:r>
      <w:r>
        <w:rPr>
          <w:spacing w:val="-3"/>
        </w:rPr>
        <w:t xml:space="preserve"> </w:t>
      </w:r>
      <w:r>
        <w:t>и быстро, в</w:t>
      </w:r>
      <w:r>
        <w:rPr>
          <w:spacing w:val="-1"/>
        </w:rPr>
        <w:t xml:space="preserve"> </w:t>
      </w:r>
      <w:r>
        <w:t xml:space="preserve">течение 5–10 </w:t>
      </w:r>
      <w:r>
        <w:t xml:space="preserve">минут достигает максимальной интенсивности. Сопровождающие симптомы, такие как при </w:t>
      </w:r>
      <w:proofErr w:type="spellStart"/>
      <w:r>
        <w:t>мигренозной</w:t>
      </w:r>
      <w:proofErr w:type="spellEnd"/>
      <w:r>
        <w:t xml:space="preserve"> головной боли, значительно менее выражены.</w:t>
      </w:r>
    </w:p>
    <w:p w:rsidR="00057D43" w:rsidRDefault="00B5503C">
      <w:pPr>
        <w:pStyle w:val="a5"/>
        <w:spacing w:line="360" w:lineRule="auto"/>
        <w:ind w:right="103" w:firstLine="707"/>
      </w:pPr>
      <w:r>
        <w:t xml:space="preserve">Почти </w:t>
      </w:r>
      <w:proofErr w:type="spellStart"/>
      <w:r>
        <w:t>облигатным</w:t>
      </w:r>
      <w:proofErr w:type="spellEnd"/>
      <w:r>
        <w:t xml:space="preserve"> признаком ПГБ являются ночные атаки, будящие пациентов в одно и то же время ночи. ПГБ поэтому называю</w:t>
      </w:r>
      <w:r>
        <w:t>т «</w:t>
      </w:r>
      <w:proofErr w:type="spellStart"/>
      <w:r>
        <w:t>будильниковой</w:t>
      </w:r>
      <w:proofErr w:type="spellEnd"/>
      <w:r>
        <w:t>» ГБ, поскольку она, подобно будильнику, будит пациента в определенный час среди ночи.</w:t>
      </w:r>
    </w:p>
    <w:p w:rsidR="00057D43" w:rsidRDefault="00B5503C">
      <w:pPr>
        <w:pStyle w:val="a5"/>
        <w:spacing w:before="1" w:line="360" w:lineRule="auto"/>
        <w:ind w:right="105" w:firstLine="707"/>
      </w:pPr>
      <w:r>
        <w:t xml:space="preserve">По данным исследований, выделены следующие возможные триггеры атак КлГБ: алкоголь, сигаретный дым, большие высоты, нарушения привычного суточного ритма, </w:t>
      </w:r>
      <w:r>
        <w:t xml:space="preserve">яркий свет, </w:t>
      </w:r>
      <w:proofErr w:type="spellStart"/>
      <w:r>
        <w:t>психоэмоциональное</w:t>
      </w:r>
      <w:proofErr w:type="spellEnd"/>
      <w:r>
        <w:t xml:space="preserve"> напряжение, высокая температура окружающей среды, продукты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5"/>
        </w:rPr>
        <w:t xml:space="preserve"> </w:t>
      </w:r>
      <w:r>
        <w:t>содержанием</w:t>
      </w:r>
      <w:r>
        <w:rPr>
          <w:spacing w:val="-13"/>
        </w:rPr>
        <w:t xml:space="preserve"> </w:t>
      </w:r>
      <w:proofErr w:type="spellStart"/>
      <w:r>
        <w:t>нитритов</w:t>
      </w:r>
      <w:proofErr w:type="spellEnd"/>
      <w:r>
        <w:t>,</w:t>
      </w:r>
      <w:r>
        <w:rPr>
          <w:spacing w:val="-14"/>
        </w:rPr>
        <w:t xml:space="preserve"> </w:t>
      </w:r>
      <w:r>
        <w:t>некоторые</w:t>
      </w:r>
      <w:r>
        <w:rPr>
          <w:spacing w:val="-15"/>
        </w:rPr>
        <w:t xml:space="preserve"> </w:t>
      </w:r>
      <w:r>
        <w:t>лекарственные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 xml:space="preserve">(гистамин, </w:t>
      </w:r>
      <w:r>
        <w:rPr>
          <w:spacing w:val="-2"/>
        </w:rPr>
        <w:t>нитраты).</w:t>
      </w:r>
    </w:p>
    <w:p w:rsidR="00057D43" w:rsidRDefault="00B5503C">
      <w:pPr>
        <w:pStyle w:val="a5"/>
        <w:spacing w:line="360" w:lineRule="auto"/>
        <w:ind w:right="104" w:firstLine="707"/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 xml:space="preserve">Симптоматические КлГБ могут наблюдаться и при некоторых </w:t>
      </w:r>
      <w:proofErr w:type="spellStart"/>
      <w:r>
        <w:t>интракраниальных</w:t>
      </w:r>
      <w:proofErr w:type="spellEnd"/>
      <w:r>
        <w:t xml:space="preserve"> процессах.</w:t>
      </w:r>
      <w:r>
        <w:rPr>
          <w:spacing w:val="40"/>
        </w:rPr>
        <w:t xml:space="preserve">  </w:t>
      </w:r>
      <w:proofErr w:type="spellStart"/>
      <w:r>
        <w:t>Атипичность</w:t>
      </w:r>
      <w:proofErr w:type="spellEnd"/>
      <w:r>
        <w:rPr>
          <w:spacing w:val="40"/>
        </w:rPr>
        <w:t xml:space="preserve">  </w:t>
      </w:r>
      <w:r>
        <w:t>подобных</w:t>
      </w:r>
      <w:r>
        <w:rPr>
          <w:spacing w:val="40"/>
        </w:rPr>
        <w:t xml:space="preserve">  </w:t>
      </w:r>
      <w:r>
        <w:t>случаев</w:t>
      </w:r>
      <w:r>
        <w:rPr>
          <w:spacing w:val="40"/>
        </w:rPr>
        <w:t xml:space="preserve">  </w:t>
      </w:r>
      <w:r>
        <w:t>включает</w:t>
      </w:r>
      <w:r>
        <w:rPr>
          <w:spacing w:val="40"/>
        </w:rPr>
        <w:t xml:space="preserve">  </w:t>
      </w:r>
      <w:r>
        <w:t>отсутствие</w:t>
      </w:r>
      <w:r>
        <w:rPr>
          <w:spacing w:val="40"/>
        </w:rPr>
        <w:t xml:space="preserve">  </w:t>
      </w:r>
      <w:r>
        <w:t>периодичности,</w:t>
      </w:r>
    </w:p>
    <w:p w:rsidR="00057D43" w:rsidRDefault="00B5503C">
      <w:pPr>
        <w:pStyle w:val="a5"/>
        <w:spacing w:before="73" w:line="362" w:lineRule="auto"/>
        <w:jc w:val="left"/>
      </w:pPr>
      <w:r>
        <w:lastRenderedPageBreak/>
        <w:t>присутствие</w:t>
      </w:r>
      <w:r>
        <w:rPr>
          <w:spacing w:val="-7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фоновой</w:t>
      </w:r>
      <w:r>
        <w:rPr>
          <w:spacing w:val="-8"/>
        </w:rPr>
        <w:t xml:space="preserve"> </w:t>
      </w:r>
      <w:r>
        <w:t>ГБ,</w:t>
      </w:r>
      <w:r>
        <w:rPr>
          <w:spacing w:val="-2"/>
        </w:rPr>
        <w:t xml:space="preserve"> </w:t>
      </w:r>
      <w:r>
        <w:t>неадекватную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 xml:space="preserve">неудовлетворительную реакцию на лечение, наличие других неврологических симптомов, кроме </w:t>
      </w:r>
      <w:proofErr w:type="spellStart"/>
      <w:r>
        <w:t>птоза</w:t>
      </w:r>
      <w:proofErr w:type="spellEnd"/>
      <w:r>
        <w:t xml:space="preserve"> и </w:t>
      </w:r>
      <w:proofErr w:type="spellStart"/>
      <w:r>
        <w:t>миоза</w:t>
      </w:r>
      <w:proofErr w:type="spellEnd"/>
      <w:r>
        <w:t>.</w:t>
      </w:r>
    </w:p>
    <w:p w:rsidR="00057D43" w:rsidRDefault="00057D43">
      <w:pPr>
        <w:pStyle w:val="a5"/>
        <w:spacing w:before="134"/>
        <w:ind w:left="0"/>
        <w:jc w:val="left"/>
      </w:pPr>
    </w:p>
    <w:p w:rsidR="00057D43" w:rsidRDefault="00B5503C">
      <w:pPr>
        <w:pStyle w:val="1"/>
        <w:numPr>
          <w:ilvl w:val="1"/>
          <w:numId w:val="2"/>
        </w:numPr>
        <w:tabs>
          <w:tab w:val="left" w:pos="1142"/>
        </w:tabs>
        <w:ind w:left="1142" w:hanging="292"/>
        <w:jc w:val="center"/>
      </w:pPr>
      <w:r>
        <w:rPr>
          <w:spacing w:val="-2"/>
        </w:rPr>
        <w:t>Диагностика</w:t>
      </w:r>
    </w:p>
    <w:p w:rsidR="00057D43" w:rsidRDefault="00B5503C">
      <w:pPr>
        <w:pStyle w:val="a5"/>
        <w:spacing w:before="137" w:line="360" w:lineRule="auto"/>
        <w:ind w:right="104" w:firstLine="707"/>
      </w:pPr>
      <w:r>
        <w:t xml:space="preserve">Диагностика </w:t>
      </w:r>
      <w:proofErr w:type="spellStart"/>
      <w:r>
        <w:t>кластерной</w:t>
      </w:r>
      <w:proofErr w:type="spellEnd"/>
      <w:r>
        <w:t xml:space="preserve"> головной боли основывается на характерной комбинации симптомов и исключении </w:t>
      </w:r>
      <w:proofErr w:type="spellStart"/>
      <w:r>
        <w:t>интракраниальной</w:t>
      </w:r>
      <w:proofErr w:type="spellEnd"/>
      <w:r>
        <w:t xml:space="preserve"> патологии. Необходимо исключить другие </w:t>
      </w:r>
      <w:proofErr w:type="spellStart"/>
      <w:r>
        <w:t>унилатеральные</w:t>
      </w:r>
      <w:proofErr w:type="spellEnd"/>
      <w:r>
        <w:t xml:space="preserve"> первичные синдромы головных болей с </w:t>
      </w:r>
      <w:r>
        <w:t xml:space="preserve">вегетативными симптомами, которые иногда объединяют вместе с </w:t>
      </w:r>
      <w:proofErr w:type="spellStart"/>
      <w:r>
        <w:t>кластерной</w:t>
      </w:r>
      <w:proofErr w:type="spellEnd"/>
      <w:r>
        <w:t xml:space="preserve"> головной болью термином </w:t>
      </w:r>
      <w:proofErr w:type="spellStart"/>
      <w:r>
        <w:t>тригеминальные</w:t>
      </w:r>
      <w:proofErr w:type="spellEnd"/>
      <w:r>
        <w:t xml:space="preserve"> вегетативные </w:t>
      </w:r>
      <w:proofErr w:type="spellStart"/>
      <w:r>
        <w:t>цефалгии</w:t>
      </w:r>
      <w:proofErr w:type="spellEnd"/>
      <w:r>
        <w:t>:</w:t>
      </w:r>
    </w:p>
    <w:p w:rsidR="00057D43" w:rsidRDefault="00B5503C">
      <w:pPr>
        <w:pStyle w:val="a9"/>
        <w:numPr>
          <w:ilvl w:val="0"/>
          <w:numId w:val="3"/>
        </w:numPr>
        <w:tabs>
          <w:tab w:val="left" w:pos="1570"/>
        </w:tabs>
        <w:spacing w:before="2" w:line="360" w:lineRule="auto"/>
      </w:pPr>
      <w:r>
        <w:rPr>
          <w:sz w:val="24"/>
        </w:rPr>
        <w:t xml:space="preserve">Синдром SUNCT (коротко длящаяся, односторонняя, невралгическая головная боль с покраснением конъюнктивы и </w:t>
      </w:r>
      <w:proofErr w:type="spellStart"/>
      <w:r>
        <w:rPr>
          <w:sz w:val="24"/>
        </w:rPr>
        <w:t>слезотечением</w:t>
      </w:r>
      <w:proofErr w:type="spellEnd"/>
      <w:r>
        <w:rPr>
          <w:sz w:val="24"/>
        </w:rPr>
        <w:t xml:space="preserve">): </w:t>
      </w:r>
      <w:r>
        <w:rPr>
          <w:sz w:val="24"/>
        </w:rPr>
        <w:t>приступы очень кратковременные (5–250 секунд) с очень высокой частотой (до 200 приступов в день).</w:t>
      </w:r>
    </w:p>
    <w:p w:rsidR="00057D43" w:rsidRDefault="00B5503C">
      <w:pPr>
        <w:pStyle w:val="a9"/>
        <w:numPr>
          <w:ilvl w:val="0"/>
          <w:numId w:val="3"/>
        </w:numPr>
        <w:tabs>
          <w:tab w:val="left" w:pos="1570"/>
        </w:tabs>
        <w:spacing w:line="360" w:lineRule="auto"/>
      </w:pPr>
      <w:r>
        <w:rPr>
          <w:sz w:val="24"/>
        </w:rPr>
        <w:t xml:space="preserve">Хроническая </w:t>
      </w:r>
      <w:proofErr w:type="spellStart"/>
      <w:r>
        <w:rPr>
          <w:sz w:val="24"/>
        </w:rPr>
        <w:t>пароксизмальная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гемикрания</w:t>
      </w:r>
      <w:proofErr w:type="spellEnd"/>
      <w:r>
        <w:rPr>
          <w:sz w:val="24"/>
        </w:rPr>
        <w:t xml:space="preserve">: приступы возникают с большей частотой (&gt; 5/день) и длятся меньше по времени (обычно несколько минут), чем при </w:t>
      </w:r>
      <w:proofErr w:type="spellStart"/>
      <w:r>
        <w:rPr>
          <w:sz w:val="24"/>
        </w:rPr>
        <w:t>кластерн</w:t>
      </w:r>
      <w:r>
        <w:rPr>
          <w:sz w:val="24"/>
        </w:rPr>
        <w:t>ых</w:t>
      </w:r>
      <w:proofErr w:type="spellEnd"/>
      <w:r>
        <w:rPr>
          <w:sz w:val="24"/>
        </w:rPr>
        <w:t xml:space="preserve"> головных болях.</w:t>
      </w:r>
    </w:p>
    <w:p w:rsidR="00057D43" w:rsidRDefault="00B5503C">
      <w:pPr>
        <w:pStyle w:val="a9"/>
        <w:numPr>
          <w:ilvl w:val="0"/>
          <w:numId w:val="3"/>
        </w:numPr>
        <w:tabs>
          <w:tab w:val="left" w:pos="1570"/>
        </w:tabs>
        <w:spacing w:line="360" w:lineRule="auto"/>
        <w:rPr>
          <w:sz w:val="24"/>
        </w:rPr>
      </w:pPr>
      <w:r>
        <w:rPr>
          <w:sz w:val="24"/>
        </w:rPr>
        <w:t xml:space="preserve">Продолжительная </w:t>
      </w:r>
      <w:proofErr w:type="spellStart"/>
      <w:r>
        <w:rPr>
          <w:sz w:val="24"/>
        </w:rPr>
        <w:t>гемикрания</w:t>
      </w:r>
      <w:proofErr w:type="spellEnd"/>
      <w:r>
        <w:rPr>
          <w:sz w:val="24"/>
        </w:rPr>
        <w:t xml:space="preserve">: постоянная односторонняя головная боль умеренной степени </w:t>
      </w:r>
      <w:proofErr w:type="spellStart"/>
      <w:r>
        <w:rPr>
          <w:sz w:val="24"/>
        </w:rPr>
        <w:t>выраженности</w:t>
      </w:r>
      <w:proofErr w:type="spellEnd"/>
      <w:r>
        <w:rPr>
          <w:sz w:val="24"/>
        </w:rPr>
        <w:t>, на которую «наслаиваются» короткие приступы более интенсивной головной боли.</w:t>
      </w:r>
    </w:p>
    <w:p w:rsidR="00057D43" w:rsidRDefault="00B5503C">
      <w:pPr>
        <w:pStyle w:val="a5"/>
        <w:spacing w:before="1" w:line="360" w:lineRule="auto"/>
        <w:ind w:right="104" w:firstLine="707"/>
      </w:pPr>
      <w:r>
        <w:t xml:space="preserve">Хроническая </w:t>
      </w:r>
      <w:proofErr w:type="spellStart"/>
      <w:r>
        <w:t>пароксизмальная</w:t>
      </w:r>
      <w:proofErr w:type="spellEnd"/>
      <w:r>
        <w:t xml:space="preserve"> </w:t>
      </w:r>
      <w:proofErr w:type="spellStart"/>
      <w:r>
        <w:t>гемикрания</w:t>
      </w:r>
      <w:proofErr w:type="spellEnd"/>
      <w:r>
        <w:t xml:space="preserve"> и постоянная </w:t>
      </w:r>
      <w:proofErr w:type="spellStart"/>
      <w:r>
        <w:t>гемикрани</w:t>
      </w:r>
      <w:r>
        <w:t>я</w:t>
      </w:r>
      <w:proofErr w:type="spellEnd"/>
      <w:r>
        <w:t>, в отличие от синдрома</w:t>
      </w:r>
      <w:r>
        <w:rPr>
          <w:spacing w:val="-15"/>
        </w:rPr>
        <w:t xml:space="preserve"> </w:t>
      </w:r>
      <w:r>
        <w:t>SUNCT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кластерной</w:t>
      </w:r>
      <w:proofErr w:type="spellEnd"/>
      <w:r>
        <w:rPr>
          <w:spacing w:val="-13"/>
        </w:rPr>
        <w:t xml:space="preserve"> </w:t>
      </w:r>
      <w:r>
        <w:t>головной</w:t>
      </w:r>
      <w:r>
        <w:rPr>
          <w:spacing w:val="-13"/>
        </w:rPr>
        <w:t xml:space="preserve"> </w:t>
      </w:r>
      <w:r>
        <w:t>боли</w:t>
      </w:r>
      <w:r>
        <w:rPr>
          <w:spacing w:val="-15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мигрени),</w:t>
      </w:r>
      <w:r>
        <w:rPr>
          <w:spacing w:val="-15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поддаются</w:t>
      </w:r>
      <w:r>
        <w:rPr>
          <w:spacing w:val="-15"/>
        </w:rPr>
        <w:t xml:space="preserve"> </w:t>
      </w:r>
      <w:r>
        <w:t xml:space="preserve">терапии </w:t>
      </w:r>
      <w:proofErr w:type="spellStart"/>
      <w:r>
        <w:t>индометацином</w:t>
      </w:r>
      <w:proofErr w:type="spellEnd"/>
      <w:r>
        <w:t xml:space="preserve">, но не другими </w:t>
      </w:r>
      <w:proofErr w:type="spellStart"/>
      <w:r>
        <w:t>нестероидными</w:t>
      </w:r>
      <w:proofErr w:type="spellEnd"/>
      <w:r>
        <w:t xml:space="preserve"> противовоспалительными препаратами </w:t>
      </w:r>
      <w:r>
        <w:rPr>
          <w:spacing w:val="-2"/>
        </w:rPr>
        <w:t>(НПВП).</w:t>
      </w:r>
    </w:p>
    <w:p w:rsidR="00057D43" w:rsidRDefault="00B5503C">
      <w:pPr>
        <w:pStyle w:val="a5"/>
        <w:spacing w:line="360" w:lineRule="auto"/>
        <w:ind w:right="110" w:firstLine="707"/>
      </w:pPr>
      <w:r>
        <w:rPr>
          <w:b/>
          <w:i/>
        </w:rPr>
        <w:t>Лабораторная диагностика</w:t>
      </w:r>
      <w:r>
        <w:t>. Поскольку диагностика ПГБ является клиническ</w:t>
      </w:r>
      <w:r>
        <w:t>ой, лабораторные методы не являются обязательными.</w:t>
      </w:r>
    </w:p>
    <w:p w:rsidR="00057D43" w:rsidRDefault="00B5503C">
      <w:pPr>
        <w:pStyle w:val="a5"/>
        <w:spacing w:line="360" w:lineRule="auto"/>
        <w:ind w:right="108" w:firstLine="707"/>
      </w:pPr>
      <w:r>
        <w:rPr>
          <w:b/>
          <w:i/>
        </w:rPr>
        <w:t xml:space="preserve">Инструментальная диагностика. </w:t>
      </w:r>
      <w:r>
        <w:t>Инструментальные исследования не информативны в диагностике ПГБ, поскольку не выявляют специфических для этого заболевания изменений.</w:t>
      </w:r>
    </w:p>
    <w:p w:rsidR="00057D43" w:rsidRDefault="00B5503C">
      <w:pPr>
        <w:pStyle w:val="2"/>
        <w:spacing w:line="275" w:lineRule="exact"/>
        <w:jc w:val="center"/>
      </w:pPr>
      <w:r>
        <w:t>Критерии</w:t>
      </w:r>
      <w:r>
        <w:rPr>
          <w:spacing w:val="-8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rPr>
          <w:spacing w:val="-4"/>
        </w:rPr>
        <w:t>ПГБ: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89"/>
        </w:tabs>
        <w:spacing w:before="139" w:line="360" w:lineRule="auto"/>
        <w:ind w:left="142" w:right="104" w:firstLine="707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риступов,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односторонняя орбитальная, </w:t>
      </w:r>
      <w:proofErr w:type="spellStart"/>
      <w:r>
        <w:rPr>
          <w:sz w:val="24"/>
        </w:rPr>
        <w:t>супраорбитальная</w:t>
      </w:r>
      <w:proofErr w:type="spellEnd"/>
      <w:r>
        <w:rPr>
          <w:sz w:val="24"/>
        </w:rPr>
        <w:t xml:space="preserve"> и/ или височная боль, длительность от 15 до 180 минут;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81"/>
        </w:tabs>
        <w:spacing w:line="360" w:lineRule="auto"/>
        <w:ind w:left="142" w:right="103" w:firstLine="707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боли</w:t>
      </w:r>
      <w:r>
        <w:rPr>
          <w:spacing w:val="-9"/>
          <w:sz w:val="24"/>
        </w:rPr>
        <w:t xml:space="preserve"> </w:t>
      </w:r>
      <w:r>
        <w:rPr>
          <w:sz w:val="24"/>
        </w:rPr>
        <w:t>хотя</w:t>
      </w:r>
      <w:r>
        <w:rPr>
          <w:spacing w:val="-9"/>
          <w:sz w:val="24"/>
        </w:rPr>
        <w:t xml:space="preserve"> </w:t>
      </w:r>
      <w:r>
        <w:rPr>
          <w:sz w:val="24"/>
        </w:rPr>
        <w:t>бы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симптомов: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слезотечение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заложенность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носа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ринорея</w:t>
      </w:r>
      <w:proofErr w:type="spellEnd"/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отек</w:t>
      </w:r>
      <w:r>
        <w:rPr>
          <w:spacing w:val="-12"/>
          <w:sz w:val="24"/>
        </w:rPr>
        <w:t xml:space="preserve"> </w:t>
      </w:r>
      <w:r>
        <w:rPr>
          <w:sz w:val="24"/>
        </w:rPr>
        <w:t>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потоотделение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лица, </w:t>
      </w:r>
      <w:proofErr w:type="spellStart"/>
      <w:r>
        <w:rPr>
          <w:sz w:val="24"/>
        </w:rPr>
        <w:t>миоз</w:t>
      </w:r>
      <w:proofErr w:type="spellEnd"/>
      <w:r>
        <w:rPr>
          <w:sz w:val="24"/>
        </w:rPr>
        <w:t xml:space="preserve"> и/или птоз, невозможность находиться в покое (ажитация);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line="275" w:lineRule="exact"/>
        <w:rPr>
          <w:sz w:val="24"/>
        </w:rPr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Частота</w:t>
      </w:r>
      <w:r>
        <w:rPr>
          <w:spacing w:val="-2"/>
          <w:sz w:val="24"/>
        </w:rPr>
        <w:t xml:space="preserve"> </w:t>
      </w:r>
      <w:r>
        <w:rPr>
          <w:sz w:val="24"/>
        </w:rPr>
        <w:t>атак 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 8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сутки;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90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ГБ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причинами.</w:t>
      </w:r>
    </w:p>
    <w:p w:rsidR="00057D43" w:rsidRDefault="00057D43">
      <w:pPr>
        <w:pStyle w:val="a5"/>
        <w:ind w:left="0"/>
        <w:jc w:val="left"/>
      </w:pPr>
    </w:p>
    <w:p w:rsidR="00057D43" w:rsidRDefault="00057D43">
      <w:pPr>
        <w:pStyle w:val="a5"/>
        <w:spacing w:before="1"/>
        <w:ind w:left="0"/>
        <w:jc w:val="left"/>
      </w:pPr>
    </w:p>
    <w:p w:rsidR="00057D43" w:rsidRDefault="00B5503C">
      <w:pPr>
        <w:pStyle w:val="1"/>
        <w:numPr>
          <w:ilvl w:val="1"/>
          <w:numId w:val="2"/>
        </w:numPr>
        <w:tabs>
          <w:tab w:val="left" w:pos="1235"/>
        </w:tabs>
        <w:ind w:left="1235" w:hanging="385"/>
        <w:jc w:val="center"/>
      </w:pPr>
      <w:r>
        <w:rPr>
          <w:spacing w:val="-2"/>
        </w:rPr>
        <w:t>Лечение</w:t>
      </w:r>
    </w:p>
    <w:p w:rsidR="00057D43" w:rsidRDefault="00B5503C">
      <w:pPr>
        <w:pStyle w:val="2"/>
        <w:spacing w:before="139"/>
      </w:pPr>
      <w:r>
        <w:t>Терапия</w:t>
      </w:r>
      <w:r>
        <w:rPr>
          <w:spacing w:val="-4"/>
        </w:rPr>
        <w:t xml:space="preserve"> </w:t>
      </w:r>
      <w:r>
        <w:rPr>
          <w:spacing w:val="-2"/>
        </w:rPr>
        <w:t>приступа:</w:t>
      </w:r>
    </w:p>
    <w:p w:rsidR="00057D43" w:rsidRDefault="00B5503C">
      <w:pPr>
        <w:pStyle w:val="a5"/>
        <w:spacing w:before="137" w:line="360" w:lineRule="auto"/>
        <w:ind w:right="105" w:firstLine="707"/>
      </w:pPr>
      <w:r>
        <w:t>Лечение атаки ингаляцией чистого (100%) кислорода (уровень доказательности А) через кислородную маску с уровнем потока не менее 7–12 л эффективно для купирования атаки КлГБ. Это безопасный и не имеющий никаких противопоказаний метод. Около 60% вс</w:t>
      </w:r>
      <w:r>
        <w:t>ех</w:t>
      </w:r>
      <w:r>
        <w:rPr>
          <w:spacing w:val="-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КлГБ</w:t>
      </w:r>
      <w:r>
        <w:rPr>
          <w:spacing w:val="-2"/>
        </w:rPr>
        <w:t xml:space="preserve"> </w:t>
      </w:r>
      <w:r>
        <w:t>отмечают,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proofErr w:type="spellStart"/>
      <w:r>
        <w:t>выраженности</w:t>
      </w:r>
      <w:proofErr w:type="spellEnd"/>
      <w:r>
        <w:rPr>
          <w:spacing w:val="-1"/>
        </w:rPr>
        <w:t xml:space="preserve"> </w:t>
      </w:r>
      <w:r>
        <w:t>болевого синдрома происходит в течение 15–30 минут.</w:t>
      </w:r>
    </w:p>
    <w:p w:rsidR="00057D43" w:rsidRDefault="00B5503C">
      <w:pPr>
        <w:pStyle w:val="a5"/>
        <w:spacing w:before="1" w:line="360" w:lineRule="auto"/>
        <w:ind w:right="103" w:firstLine="707"/>
      </w:pPr>
      <w:r>
        <w:t xml:space="preserve">Терапия приступа (пучка) </w:t>
      </w:r>
      <w:proofErr w:type="spellStart"/>
      <w:r>
        <w:t>кластерной</w:t>
      </w:r>
      <w:proofErr w:type="spellEnd"/>
      <w:r>
        <w:t xml:space="preserve"> головной боли, согласно рекомендациям Европейской федерации неврологических обществ (European F</w:t>
      </w:r>
      <w:r>
        <w:t xml:space="preserve">ederation of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, EFNS) включает себя применение </w:t>
      </w:r>
      <w:proofErr w:type="spellStart"/>
      <w:r>
        <w:t>триптанов</w:t>
      </w:r>
      <w:proofErr w:type="spellEnd"/>
      <w:r>
        <w:t xml:space="preserve"> — </w:t>
      </w:r>
      <w:proofErr w:type="spellStart"/>
      <w:r>
        <w:t>агонистов</w:t>
      </w:r>
      <w:proofErr w:type="spellEnd"/>
      <w:r>
        <w:t xml:space="preserve"> 5-HT1B /1D рецепторов. Эффективность их применения основана на 3-х основных механизмах </w:t>
      </w:r>
      <w:r>
        <w:rPr>
          <w:spacing w:val="-2"/>
        </w:rPr>
        <w:t>действия: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086"/>
        </w:tabs>
        <w:spacing w:line="360" w:lineRule="auto"/>
        <w:ind w:left="142" w:right="106" w:firstLine="707"/>
        <w:rPr>
          <w:sz w:val="24"/>
        </w:rPr>
      </w:pPr>
      <w:r>
        <w:rPr>
          <w:sz w:val="24"/>
        </w:rPr>
        <w:t>Вызывают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сужение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избыточно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церебральных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сосудов. Это</w:t>
      </w:r>
      <w:r>
        <w:rPr>
          <w:spacing w:val="-8"/>
          <w:sz w:val="24"/>
        </w:rPr>
        <w:t xml:space="preserve"> </w:t>
      </w:r>
      <w:r>
        <w:rPr>
          <w:sz w:val="24"/>
        </w:rPr>
        <w:t>сниж</w:t>
      </w:r>
      <w:r>
        <w:rPr>
          <w:sz w:val="24"/>
        </w:rPr>
        <w:t>ает стимуляцию болевых рецепторов сосудистой стенки и способствует уменьшению боли;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299"/>
        </w:tabs>
        <w:spacing w:line="360" w:lineRule="auto"/>
        <w:ind w:left="142" w:right="103" w:firstLine="707"/>
        <w:rPr>
          <w:sz w:val="24"/>
        </w:rPr>
      </w:pPr>
      <w:r>
        <w:rPr>
          <w:sz w:val="24"/>
        </w:rPr>
        <w:t xml:space="preserve">Приводят к </w:t>
      </w:r>
      <w:proofErr w:type="spellStart"/>
      <w:r>
        <w:rPr>
          <w:sz w:val="24"/>
        </w:rPr>
        <w:t>ингибированию</w:t>
      </w:r>
      <w:proofErr w:type="spellEnd"/>
      <w:r>
        <w:rPr>
          <w:sz w:val="24"/>
        </w:rPr>
        <w:t xml:space="preserve"> выделения </w:t>
      </w:r>
      <w:proofErr w:type="spellStart"/>
      <w:r>
        <w:rPr>
          <w:sz w:val="24"/>
        </w:rPr>
        <w:t>алгогенных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вазоактивных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нейропептидов</w:t>
      </w:r>
      <w:proofErr w:type="spellEnd"/>
      <w:r>
        <w:rPr>
          <w:sz w:val="24"/>
        </w:rPr>
        <w:t xml:space="preserve"> из </w:t>
      </w:r>
      <w:proofErr w:type="spellStart"/>
      <w:r>
        <w:rPr>
          <w:sz w:val="24"/>
        </w:rPr>
        <w:t>периваскулярных</w:t>
      </w:r>
      <w:proofErr w:type="spellEnd"/>
      <w:r>
        <w:rPr>
          <w:sz w:val="24"/>
        </w:rPr>
        <w:t xml:space="preserve"> нервных волокон тройничного нерва. Это приводит к уменьшению </w:t>
      </w:r>
      <w:proofErr w:type="spellStart"/>
      <w:r>
        <w:rPr>
          <w:sz w:val="24"/>
        </w:rPr>
        <w:t>нейрогенного</w:t>
      </w:r>
      <w:proofErr w:type="spellEnd"/>
      <w:r>
        <w:rPr>
          <w:sz w:val="24"/>
        </w:rPr>
        <w:t xml:space="preserve"> воспаления и боли, нормализации тонуса церебральных </w:t>
      </w:r>
      <w:r>
        <w:rPr>
          <w:spacing w:val="-2"/>
          <w:sz w:val="24"/>
        </w:rPr>
        <w:t>сосудов;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110"/>
        </w:tabs>
        <w:spacing w:line="360" w:lineRule="auto"/>
        <w:ind w:left="142" w:right="104" w:firstLine="707"/>
        <w:rPr>
          <w:sz w:val="24"/>
        </w:rPr>
      </w:pPr>
      <w:proofErr w:type="spellStart"/>
      <w:r>
        <w:rPr>
          <w:sz w:val="24"/>
        </w:rPr>
        <w:t>Ингибируют</w:t>
      </w:r>
      <w:proofErr w:type="spellEnd"/>
      <w:r>
        <w:rPr>
          <w:sz w:val="24"/>
        </w:rPr>
        <w:t xml:space="preserve"> выделение </w:t>
      </w:r>
      <w:proofErr w:type="spellStart"/>
      <w:r>
        <w:rPr>
          <w:sz w:val="24"/>
        </w:rPr>
        <w:t>алгоге</w:t>
      </w:r>
      <w:r>
        <w:rPr>
          <w:sz w:val="24"/>
        </w:rPr>
        <w:t>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нейропептидов</w:t>
      </w:r>
      <w:proofErr w:type="spellEnd"/>
      <w:r>
        <w:rPr>
          <w:sz w:val="24"/>
        </w:rPr>
        <w:t xml:space="preserve"> из центральных </w:t>
      </w:r>
      <w:proofErr w:type="spellStart"/>
      <w:r>
        <w:rPr>
          <w:sz w:val="24"/>
        </w:rPr>
        <w:t>терминалей</w:t>
      </w:r>
      <w:proofErr w:type="spellEnd"/>
      <w:r>
        <w:rPr>
          <w:sz w:val="24"/>
        </w:rPr>
        <w:t xml:space="preserve"> тройничного нерва, снижая возбуждение и блокируя проведение боли на уровне чувствительных ядер ствола мозга.</w:t>
      </w:r>
    </w:p>
    <w:p w:rsidR="00057D43" w:rsidRDefault="00B5503C">
      <w:pPr>
        <w:pStyle w:val="a5"/>
        <w:spacing w:before="2" w:line="360" w:lineRule="auto"/>
        <w:ind w:right="107" w:firstLine="707"/>
      </w:pPr>
      <w:r>
        <w:t xml:space="preserve">К этой группе препаратов относятся: </w:t>
      </w:r>
      <w:proofErr w:type="spellStart"/>
      <w:r>
        <w:t>суматриптан</w:t>
      </w:r>
      <w:proofErr w:type="spellEnd"/>
      <w:r>
        <w:t xml:space="preserve"> (</w:t>
      </w:r>
      <w:proofErr w:type="spellStart"/>
      <w:r>
        <w:t>триптаны</w:t>
      </w:r>
      <w:proofErr w:type="spellEnd"/>
      <w:r>
        <w:t xml:space="preserve"> первого поколения) и </w:t>
      </w:r>
      <w:proofErr w:type="spellStart"/>
      <w:r>
        <w:t>золмитриптан</w:t>
      </w:r>
      <w:proofErr w:type="spellEnd"/>
      <w:r>
        <w:t xml:space="preserve">, </w:t>
      </w:r>
      <w:proofErr w:type="spellStart"/>
      <w:r>
        <w:t>фроватрип</w:t>
      </w:r>
      <w:r>
        <w:t>тан</w:t>
      </w:r>
      <w:proofErr w:type="spellEnd"/>
      <w:r>
        <w:t xml:space="preserve">, </w:t>
      </w:r>
      <w:proofErr w:type="spellStart"/>
      <w:r>
        <w:t>элетриптан</w:t>
      </w:r>
      <w:proofErr w:type="spellEnd"/>
      <w:r>
        <w:t xml:space="preserve"> (</w:t>
      </w:r>
      <w:proofErr w:type="spellStart"/>
      <w:r>
        <w:t>триптаны</w:t>
      </w:r>
      <w:proofErr w:type="spellEnd"/>
      <w:r>
        <w:t xml:space="preserve"> второго поколения).</w:t>
      </w:r>
    </w:p>
    <w:p w:rsidR="00057D43" w:rsidRDefault="00B5503C">
      <w:pPr>
        <w:pStyle w:val="2"/>
      </w:pPr>
      <w:r>
        <w:t>Превентивная</w:t>
      </w:r>
      <w:r>
        <w:rPr>
          <w:spacing w:val="-5"/>
        </w:rPr>
        <w:t xml:space="preserve"> </w:t>
      </w:r>
      <w:r>
        <w:t>лекарственная</w:t>
      </w:r>
      <w:r>
        <w:rPr>
          <w:spacing w:val="-5"/>
        </w:rPr>
        <w:t xml:space="preserve"> </w:t>
      </w:r>
      <w:r>
        <w:rPr>
          <w:spacing w:val="-2"/>
        </w:rPr>
        <w:t>терапия:</w:t>
      </w:r>
    </w:p>
    <w:p w:rsidR="00057D43" w:rsidRDefault="00B5503C">
      <w:pPr>
        <w:pStyle w:val="a5"/>
        <w:spacing w:before="137" w:line="360" w:lineRule="auto"/>
        <w:ind w:right="104" w:firstLine="707"/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proofErr w:type="spellStart"/>
      <w:r>
        <w:t>Верапамил</w:t>
      </w:r>
      <w:proofErr w:type="spellEnd"/>
      <w:r>
        <w:t xml:space="preserve"> ежедневно в дозе 240–960 </w:t>
      </w:r>
      <w:proofErr w:type="spellStart"/>
      <w:r>
        <w:t>мг</w:t>
      </w:r>
      <w:proofErr w:type="spellEnd"/>
      <w:r>
        <w:t xml:space="preserve"> был использован в качестве препарата первого выбора (уровень доказательности А) для профилактики эпизодической и</w:t>
      </w:r>
      <w:r>
        <w:t xml:space="preserve"> хронической КлГБ. При приеме данного препарата необходим регулярный ЭКГ- мониторинг для контроля изменений сердечной проводимости. Он, как правило, хорошо переносится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безопасно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сочетании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 xml:space="preserve">профилактическими препаратами. Не существует никаких доказательных исследований, предлагающих оптимальные дозы </w:t>
      </w:r>
      <w:proofErr w:type="spellStart"/>
      <w:r>
        <w:t>верапамила</w:t>
      </w:r>
      <w:proofErr w:type="spellEnd"/>
      <w:r>
        <w:t xml:space="preserve">. Рекомендуется увеличение дозы на 80 </w:t>
      </w:r>
      <w:proofErr w:type="spellStart"/>
      <w:r>
        <w:t>мг</w:t>
      </w:r>
      <w:proofErr w:type="spellEnd"/>
      <w:r>
        <w:t xml:space="preserve"> каждые 14 дней. Полная эффективность </w:t>
      </w:r>
      <w:proofErr w:type="spellStart"/>
      <w:r>
        <w:t>верапамила</w:t>
      </w:r>
      <w:proofErr w:type="spellEnd"/>
      <w:r>
        <w:t xml:space="preserve"> наступает в течение 2–3 недель.</w:t>
      </w:r>
    </w:p>
    <w:p w:rsidR="00057D43" w:rsidRDefault="00B5503C">
      <w:pPr>
        <w:pStyle w:val="a5"/>
        <w:spacing w:before="73" w:line="360" w:lineRule="auto"/>
        <w:ind w:right="104" w:firstLine="707"/>
      </w:pPr>
      <w:r>
        <w:lastRenderedPageBreak/>
        <w:t>Нет адекватных</w:t>
      </w:r>
      <w:r>
        <w:t xml:space="preserve"> </w:t>
      </w:r>
      <w:proofErr w:type="spellStart"/>
      <w:r>
        <w:t>рандомизированных</w:t>
      </w:r>
      <w:proofErr w:type="spellEnd"/>
      <w:r>
        <w:t xml:space="preserve"> плацебо-контролируемых исследований, имеющих данные по использованию </w:t>
      </w:r>
      <w:proofErr w:type="spellStart"/>
      <w:r>
        <w:t>кортикостероидов</w:t>
      </w:r>
      <w:proofErr w:type="spellEnd"/>
      <w:r>
        <w:t xml:space="preserve"> (КС) при КлГБ. Несколько открытых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были опубликованы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proofErr w:type="spellStart"/>
      <w:r>
        <w:t>Ekbom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J.E.</w:t>
      </w:r>
      <w:r>
        <w:rPr>
          <w:spacing w:val="-3"/>
        </w:rPr>
        <w:t xml:space="preserve"> </w:t>
      </w:r>
      <w:proofErr w:type="spellStart"/>
      <w:r>
        <w:t>Hardebo</w:t>
      </w:r>
      <w:proofErr w:type="spellEnd"/>
      <w:r>
        <w:t>.</w:t>
      </w:r>
      <w:r>
        <w:rPr>
          <w:spacing w:val="-3"/>
        </w:rPr>
        <w:t xml:space="preserve"> </w:t>
      </w:r>
      <w:r>
        <w:t>Все открытые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подтверждают</w:t>
      </w:r>
      <w:r>
        <w:rPr>
          <w:spacing w:val="-5"/>
        </w:rPr>
        <w:t xml:space="preserve"> </w:t>
      </w:r>
      <w:r>
        <w:t>клинич</w:t>
      </w:r>
      <w:r>
        <w:t>ески</w:t>
      </w:r>
      <w:r>
        <w:rPr>
          <w:spacing w:val="-5"/>
        </w:rPr>
        <w:t xml:space="preserve"> </w:t>
      </w:r>
      <w:r>
        <w:t>известную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КС</w:t>
      </w:r>
      <w:r>
        <w:rPr>
          <w:spacing w:val="-5"/>
        </w:rPr>
        <w:t xml:space="preserve"> </w:t>
      </w:r>
      <w:r>
        <w:t xml:space="preserve">(уровень доказательности А), назначаемых в различных режимах (30 </w:t>
      </w:r>
      <w:proofErr w:type="spellStart"/>
      <w:r>
        <w:t>мг</w:t>
      </w:r>
      <w:proofErr w:type="spellEnd"/>
      <w:r>
        <w:t xml:space="preserve"> </w:t>
      </w:r>
      <w:proofErr w:type="spellStart"/>
      <w:r>
        <w:t>преднизолона</w:t>
      </w:r>
      <w:proofErr w:type="spellEnd"/>
      <w:r>
        <w:t xml:space="preserve"> в сутки и более, 2–4 </w:t>
      </w:r>
      <w:proofErr w:type="spellStart"/>
      <w:r>
        <w:t>мг</w:t>
      </w:r>
      <w:proofErr w:type="spellEnd"/>
      <w:r>
        <w:t xml:space="preserve"> </w:t>
      </w:r>
      <w:proofErr w:type="spellStart"/>
      <w:r>
        <w:t>дексаметазона</w:t>
      </w:r>
      <w:proofErr w:type="spellEnd"/>
      <w:r>
        <w:t xml:space="preserve"> ежедневно). Они очень эффективны для начальной профилактики и быстрого подавления атак в то время, пока п</w:t>
      </w:r>
      <w:r>
        <w:t>рофилактические препараты более длительного действия вступят в силу. Однако у некоторых пациентов обрыв атак происходит только на фоне применения КС и, следовательно, непрерывное применение ими КС необходимо. Оптимальной дозировки КС не существует.</w:t>
      </w:r>
    </w:p>
    <w:p w:rsidR="00057D43" w:rsidRDefault="00B5503C">
      <w:pPr>
        <w:pStyle w:val="a5"/>
        <w:spacing w:before="2" w:line="360" w:lineRule="auto"/>
        <w:ind w:right="105" w:firstLine="707"/>
      </w:pPr>
      <w:r>
        <w:t>Литий (</w:t>
      </w:r>
      <w:r>
        <w:t xml:space="preserve">карбонат лития) был изучен как препарат для профилактического лечения КлГБ в суточной дозе от 600 до 1500 </w:t>
      </w:r>
      <w:proofErr w:type="spellStart"/>
      <w:r>
        <w:t>мг</w:t>
      </w:r>
      <w:proofErr w:type="spellEnd"/>
      <w:r>
        <w:t xml:space="preserve"> (уровень доказательности В) более чем в 20 открытых исследованиях, описанных K. </w:t>
      </w:r>
      <w:proofErr w:type="spellStart"/>
      <w:r>
        <w:t>Ekbom</w:t>
      </w:r>
      <w:proofErr w:type="spellEnd"/>
      <w:r>
        <w:t>. Улучшение при хронической КлГБ, как было</w:t>
      </w:r>
      <w:r>
        <w:rPr>
          <w:spacing w:val="-10"/>
        </w:rPr>
        <w:t xml:space="preserve"> </w:t>
      </w:r>
      <w:r>
        <w:t>описано,</w:t>
      </w:r>
      <w:r>
        <w:rPr>
          <w:spacing w:val="-10"/>
        </w:rPr>
        <w:t xml:space="preserve"> </w:t>
      </w:r>
      <w:r>
        <w:t>составило</w:t>
      </w:r>
      <w:r>
        <w:rPr>
          <w:spacing w:val="-9"/>
        </w:rPr>
        <w:t xml:space="preserve"> </w:t>
      </w:r>
      <w:r>
        <w:t>78%</w:t>
      </w:r>
      <w:r>
        <w:rPr>
          <w:spacing w:val="-9"/>
        </w:rPr>
        <w:t xml:space="preserve"> </w:t>
      </w:r>
      <w:r>
        <w:t>(63%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эпизодической</w:t>
      </w:r>
      <w:r>
        <w:rPr>
          <w:spacing w:val="-9"/>
        </w:rPr>
        <w:t xml:space="preserve"> </w:t>
      </w:r>
      <w:r>
        <w:t>КлГБ).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литий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</w:t>
      </w:r>
      <w:r>
        <w:rPr>
          <w:spacing w:val="-10"/>
        </w:rPr>
        <w:t xml:space="preserve"> </w:t>
      </w:r>
      <w:r>
        <w:t>имеет узкое</w:t>
      </w:r>
      <w:r>
        <w:rPr>
          <w:spacing w:val="-11"/>
        </w:rPr>
        <w:t xml:space="preserve"> </w:t>
      </w:r>
      <w:r>
        <w:t>терапевтическое</w:t>
      </w:r>
      <w:r>
        <w:rPr>
          <w:spacing w:val="-12"/>
        </w:rPr>
        <w:t xml:space="preserve"> </w:t>
      </w:r>
      <w:r>
        <w:t>окно,</w:t>
      </w:r>
      <w:r>
        <w:rPr>
          <w:spacing w:val="-11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хронической</w:t>
      </w:r>
      <w:r>
        <w:rPr>
          <w:spacing w:val="-10"/>
        </w:rPr>
        <w:t xml:space="preserve"> </w:t>
      </w:r>
      <w:r>
        <w:t>КлГБ,</w:t>
      </w:r>
      <w:r>
        <w:rPr>
          <w:spacing w:val="-11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другие препараты неэффективны или противопоказаны.</w:t>
      </w:r>
    </w:p>
    <w:p w:rsidR="00057D43" w:rsidRDefault="00B5503C">
      <w:pPr>
        <w:pStyle w:val="a5"/>
        <w:spacing w:line="360" w:lineRule="auto"/>
        <w:ind w:right="106" w:firstLine="707"/>
      </w:pPr>
      <w:proofErr w:type="spellStart"/>
      <w:r>
        <w:t>Метисергид</w:t>
      </w:r>
      <w:proofErr w:type="spellEnd"/>
      <w:r>
        <w:t xml:space="preserve"> 4–8 </w:t>
      </w:r>
      <w:proofErr w:type="spellStart"/>
      <w:r>
        <w:t>мг</w:t>
      </w:r>
      <w:proofErr w:type="spellEnd"/>
      <w:r>
        <w:t xml:space="preserve">/сут (уровень доказательности В) и </w:t>
      </w:r>
      <w:proofErr w:type="spellStart"/>
      <w:r>
        <w:t>антисеротонинергический</w:t>
      </w:r>
      <w:proofErr w:type="spellEnd"/>
      <w:r>
        <w:t xml:space="preserve"> препарат </w:t>
      </w:r>
      <w:proofErr w:type="spellStart"/>
      <w:r>
        <w:t>пизотифен</w:t>
      </w:r>
      <w:proofErr w:type="spellEnd"/>
      <w:r>
        <w:t xml:space="preserve"> 3 </w:t>
      </w:r>
      <w:proofErr w:type="spellStart"/>
      <w:r>
        <w:t>мг</w:t>
      </w:r>
      <w:proofErr w:type="spellEnd"/>
      <w:r>
        <w:t>/сут (уровень доказательности С) показали свою умеренную эффективность при лечении эпизодической КлГБ [24], однако их применение ограничено побочными</w:t>
      </w:r>
      <w:r>
        <w:rPr>
          <w:spacing w:val="-15"/>
        </w:rPr>
        <w:t xml:space="preserve"> </w:t>
      </w:r>
      <w:r>
        <w:t>эффектами.</w:t>
      </w:r>
      <w:r>
        <w:rPr>
          <w:spacing w:val="-15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препараты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зарегистрированы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территор</w:t>
      </w:r>
      <w:r>
        <w:t>ии</w:t>
      </w:r>
      <w:r>
        <w:rPr>
          <w:spacing w:val="-13"/>
        </w:rPr>
        <w:t xml:space="preserve"> </w:t>
      </w:r>
      <w:r>
        <w:t xml:space="preserve">Российской </w:t>
      </w:r>
      <w:r>
        <w:rPr>
          <w:spacing w:val="-2"/>
        </w:rPr>
        <w:t>Федерации.</w:t>
      </w:r>
    </w:p>
    <w:p w:rsidR="00057D43" w:rsidRDefault="00B5503C">
      <w:pPr>
        <w:pStyle w:val="a5"/>
        <w:spacing w:before="2" w:line="360" w:lineRule="auto"/>
        <w:ind w:right="107" w:firstLine="707"/>
      </w:pPr>
      <w:r>
        <w:t xml:space="preserve">Открытые исследования показывают, что для профилактики КлГБ эффективен </w:t>
      </w:r>
      <w:proofErr w:type="spellStart"/>
      <w:r>
        <w:t>топирамат</w:t>
      </w:r>
      <w:proofErr w:type="spellEnd"/>
      <w:r>
        <w:t xml:space="preserve"> (уровень доказательности В). Рекомендуемая доза составляет 100 </w:t>
      </w:r>
      <w:proofErr w:type="spellStart"/>
      <w:r>
        <w:t>мг</w:t>
      </w:r>
      <w:proofErr w:type="spellEnd"/>
      <w:r>
        <w:t>/сут.</w:t>
      </w:r>
    </w:p>
    <w:p w:rsidR="00057D43" w:rsidRDefault="00B5503C">
      <w:pPr>
        <w:pStyle w:val="a5"/>
        <w:spacing w:line="360" w:lineRule="auto"/>
        <w:ind w:right="103" w:firstLine="707"/>
      </w:pPr>
      <w:r>
        <w:t xml:space="preserve">Для </w:t>
      </w:r>
      <w:proofErr w:type="spellStart"/>
      <w:r>
        <w:t>ипсилатеральной</w:t>
      </w:r>
      <w:proofErr w:type="spellEnd"/>
      <w:r>
        <w:t xml:space="preserve"> </w:t>
      </w:r>
      <w:proofErr w:type="spellStart"/>
      <w:r>
        <w:t>интраназальной</w:t>
      </w:r>
      <w:proofErr w:type="spellEnd"/>
      <w:r>
        <w:t xml:space="preserve"> аппликации </w:t>
      </w:r>
      <w:proofErr w:type="spellStart"/>
      <w:r>
        <w:t>капсаицина</w:t>
      </w:r>
      <w:proofErr w:type="spellEnd"/>
      <w:r>
        <w:t xml:space="preserve"> в двух открытых и одно</w:t>
      </w:r>
      <w:r>
        <w:t>м двойном слепом плацебо-контролируемом исследованиях была показана эффективность примерно для двух третей пациентов после повторных аппликаций.</w:t>
      </w:r>
    </w:p>
    <w:p w:rsidR="00057D43" w:rsidRDefault="00B5503C">
      <w:pPr>
        <w:pStyle w:val="a5"/>
        <w:spacing w:line="360" w:lineRule="auto"/>
        <w:ind w:right="105" w:firstLine="707"/>
      </w:pPr>
      <w:r>
        <w:t>Пока не существует универсального препарата, который сочетал бы комбинацию различных профилактических средств д</w:t>
      </w:r>
      <w:r>
        <w:t>ля лечения КлГБ, поэтому важно понимать, что некоторые пациенты отвечают на лечение комбинацией двух препаратов лучше, чем при применении высоких доз одного препарата.</w:t>
      </w:r>
    </w:p>
    <w:p w:rsidR="00057D43" w:rsidRDefault="00B5503C">
      <w:pPr>
        <w:pStyle w:val="a5"/>
        <w:spacing w:line="360" w:lineRule="auto"/>
        <w:ind w:right="104" w:firstLine="707"/>
        <w:sectPr w:rsidR="00057D43">
          <w:pgSz w:w="11906" w:h="16838"/>
          <w:pgMar w:top="1040" w:right="740" w:bottom="280" w:left="1560" w:header="0" w:footer="0" w:gutter="0"/>
          <w:cols w:space="720"/>
          <w:formProt w:val="0"/>
          <w:docGrid w:linePitch="100" w:charSpace="4096"/>
        </w:sectPr>
      </w:pPr>
      <w:r>
        <w:t xml:space="preserve">При ПГБ противопоказано введение </w:t>
      </w:r>
      <w:r>
        <w:t xml:space="preserve">сосудорасширяющих средств (никотиновая кислота, </w:t>
      </w:r>
      <w:proofErr w:type="spellStart"/>
      <w:r>
        <w:t>аминофиллин</w:t>
      </w:r>
      <w:proofErr w:type="spellEnd"/>
      <w:r>
        <w:t>), т.к. они могут провоцировать развитие нового приступа и ухудшать течение настоящего.</w:t>
      </w:r>
    </w:p>
    <w:p w:rsidR="00057D43" w:rsidRDefault="00B5503C">
      <w:pPr>
        <w:pStyle w:val="1"/>
        <w:numPr>
          <w:ilvl w:val="1"/>
          <w:numId w:val="2"/>
        </w:numPr>
        <w:tabs>
          <w:tab w:val="left" w:pos="1329"/>
        </w:tabs>
        <w:spacing w:before="73"/>
        <w:ind w:left="1329" w:hanging="479"/>
        <w:jc w:val="left"/>
      </w:pPr>
      <w:r>
        <w:rPr>
          <w:spacing w:val="-2"/>
        </w:rPr>
        <w:lastRenderedPageBreak/>
        <w:t>Список использованной литературы</w:t>
      </w:r>
    </w:p>
    <w:p w:rsidR="00057D43" w:rsidRDefault="00057D43">
      <w:pPr>
        <w:pStyle w:val="1"/>
        <w:tabs>
          <w:tab w:val="left" w:pos="1329"/>
        </w:tabs>
        <w:spacing w:before="73"/>
        <w:ind w:left="1329" w:firstLine="0"/>
        <w:jc w:val="left"/>
        <w:rPr>
          <w:spacing w:val="-2"/>
        </w:rPr>
      </w:pPr>
    </w:p>
    <w:p w:rsidR="00057D43" w:rsidRDefault="00B5503C">
      <w:pPr>
        <w:pStyle w:val="a9"/>
        <w:numPr>
          <w:ilvl w:val="2"/>
          <w:numId w:val="2"/>
        </w:numPr>
        <w:tabs>
          <w:tab w:val="left" w:pos="1570"/>
        </w:tabs>
        <w:spacing w:before="140"/>
        <w:ind w:left="1570" w:hanging="360"/>
        <w:jc w:val="left"/>
        <w:rPr>
          <w:sz w:val="24"/>
        </w:rPr>
      </w:pPr>
      <w:proofErr w:type="spellStart"/>
      <w:r>
        <w:rPr>
          <w:sz w:val="24"/>
        </w:rPr>
        <w:t>Боконжич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боль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Боконжич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320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570"/>
        </w:tabs>
        <w:spacing w:before="137"/>
        <w:ind w:left="1570" w:hanging="360"/>
        <w:jc w:val="left"/>
        <w:rPr>
          <w:sz w:val="24"/>
        </w:rPr>
      </w:pPr>
      <w:r>
        <w:rPr>
          <w:sz w:val="24"/>
        </w:rPr>
        <w:t>Голов</w:t>
      </w:r>
      <w:r>
        <w:rPr>
          <w:sz w:val="24"/>
        </w:rPr>
        <w:t>ная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М.Н.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Пузина</w:t>
      </w:r>
      <w:proofErr w:type="spellEnd"/>
      <w:r>
        <w:rPr>
          <w:sz w:val="24"/>
        </w:rPr>
        <w:t>. 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496c.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570"/>
        </w:tabs>
        <w:spacing w:before="139"/>
        <w:ind w:left="1570" w:hanging="360"/>
        <w:rPr>
          <w:sz w:val="24"/>
        </w:rPr>
      </w:pPr>
      <w:r>
        <w:rPr>
          <w:spacing w:val="-2"/>
          <w:sz w:val="24"/>
        </w:rPr>
        <w:t>Клинические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«Головная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боль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напряжения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(ГБН)»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2021г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570"/>
        </w:tabs>
        <w:spacing w:before="137" w:line="360" w:lineRule="auto"/>
        <w:ind w:left="1570" w:right="108" w:hanging="360"/>
        <w:rPr>
          <w:sz w:val="24"/>
        </w:rPr>
      </w:pPr>
      <w:r>
        <w:rPr>
          <w:sz w:val="24"/>
        </w:rPr>
        <w:t>Маркус,</w:t>
      </w:r>
      <w:r>
        <w:rPr>
          <w:spacing w:val="-11"/>
          <w:sz w:val="24"/>
        </w:rPr>
        <w:t xml:space="preserve"> </w:t>
      </w:r>
      <w:r>
        <w:rPr>
          <w:sz w:val="24"/>
        </w:rPr>
        <w:t>Д.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Головная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боль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Д.А.</w:t>
      </w:r>
      <w:r>
        <w:rPr>
          <w:spacing w:val="-11"/>
          <w:sz w:val="24"/>
        </w:rPr>
        <w:t xml:space="preserve"> </w:t>
      </w:r>
      <w:r>
        <w:rPr>
          <w:sz w:val="24"/>
        </w:rPr>
        <w:t>Маркус.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-11"/>
          <w:sz w:val="24"/>
        </w:rPr>
        <w:t xml:space="preserve"> </w:t>
      </w:r>
      <w:r>
        <w:rPr>
          <w:sz w:val="24"/>
        </w:rPr>
        <w:t>2015.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224 </w:t>
      </w:r>
      <w:r>
        <w:rPr>
          <w:spacing w:val="-6"/>
          <w:sz w:val="24"/>
        </w:rPr>
        <w:t>c.</w:t>
      </w:r>
    </w:p>
    <w:p w:rsidR="00057D43" w:rsidRDefault="00B5503C">
      <w:pPr>
        <w:pStyle w:val="a9"/>
        <w:numPr>
          <w:ilvl w:val="2"/>
          <w:numId w:val="2"/>
        </w:numPr>
        <w:tabs>
          <w:tab w:val="left" w:pos="1570"/>
        </w:tabs>
        <w:spacing w:line="360" w:lineRule="auto"/>
        <w:ind w:left="1570" w:right="104" w:hanging="360"/>
        <w:rPr>
          <w:sz w:val="24"/>
        </w:rPr>
      </w:pPr>
      <w:r>
        <w:rPr>
          <w:sz w:val="24"/>
        </w:rPr>
        <w:t xml:space="preserve">Филатова Е.Г. </w:t>
      </w:r>
      <w:proofErr w:type="spellStart"/>
      <w:r>
        <w:rPr>
          <w:sz w:val="24"/>
        </w:rPr>
        <w:t>Тригеминальные</w:t>
      </w:r>
      <w:proofErr w:type="spellEnd"/>
      <w:r>
        <w:rPr>
          <w:sz w:val="24"/>
        </w:rPr>
        <w:t xml:space="preserve"> автономные (вегетативные) </w:t>
      </w:r>
      <w:proofErr w:type="spellStart"/>
      <w:r>
        <w:rPr>
          <w:sz w:val="24"/>
        </w:rPr>
        <w:t>цефалгии</w:t>
      </w:r>
      <w:proofErr w:type="spellEnd"/>
      <w:r>
        <w:rPr>
          <w:sz w:val="24"/>
        </w:rPr>
        <w:t xml:space="preserve">. В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: Вегетативные расстройства. Клиника, диагностика, лечение / Под ред. В.Л. Голубева. М., 2010. С. 455–71.</w:t>
      </w:r>
    </w:p>
    <w:sectPr w:rsidR="00057D43">
      <w:pgSz w:w="11906" w:h="16838"/>
      <w:pgMar w:top="1040" w:right="74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3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" w15:restartNumberingAfterBreak="0">
    <w:nsid w:val="394B2ABD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  <w:ind w:left="1570" w:hanging="360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8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5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5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51F911D7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63" w:hanging="214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9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0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80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917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5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93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93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A8D11C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43"/>
    <w:rsid w:val="00057D43"/>
    <w:rsid w:val="004553EB"/>
    <w:rsid w:val="00B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BC733"/>
  <w15:docId w15:val="{7B11E8E8-4BA2-8F49-8E2A-68AD7208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35" w:hanging="38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5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  <w:pPr>
      <w:ind w:left="15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2525</Words>
  <Characters>14393</Characters>
  <Application>Microsoft Office Word</Application>
  <DocSecurity>0</DocSecurity>
  <Lines>119</Lines>
  <Paragraphs>33</Paragraphs>
  <ScaleCrop>false</ScaleCrop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Сергей Чмыхало</cp:lastModifiedBy>
  <cp:revision>3</cp:revision>
  <dcterms:created xsi:type="dcterms:W3CDTF">2024-02-25T06:44:00Z</dcterms:created>
  <dcterms:modified xsi:type="dcterms:W3CDTF">2024-02-25T06:45:00Z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2016</vt:lpwstr>
  </property>
</Properties>
</file>