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D" w:rsidRPr="00D42756" w:rsidRDefault="005648FD" w:rsidP="00564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56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proofErr w:type="gramStart"/>
      <w:r w:rsidRPr="00D42756">
        <w:rPr>
          <w:rFonts w:ascii="Times New Roman" w:hAnsi="Times New Roman" w:cs="Times New Roman"/>
          <w:b/>
          <w:sz w:val="28"/>
          <w:szCs w:val="28"/>
        </w:rPr>
        <w:t>Войно</w:t>
      </w:r>
      <w:proofErr w:type="spellEnd"/>
      <w:r w:rsidRPr="00D427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42756">
        <w:rPr>
          <w:rFonts w:ascii="Times New Roman" w:hAnsi="Times New Roman" w:cs="Times New Roman"/>
          <w:b/>
          <w:sz w:val="28"/>
          <w:szCs w:val="28"/>
        </w:rPr>
        <w:t>Ясенецкого</w:t>
      </w:r>
      <w:proofErr w:type="spellEnd"/>
      <w:proofErr w:type="gramEnd"/>
      <w:r w:rsidRPr="00D42756">
        <w:rPr>
          <w:rFonts w:ascii="Times New Roman" w:hAnsi="Times New Roman" w:cs="Times New Roman"/>
          <w:b/>
          <w:sz w:val="28"/>
          <w:szCs w:val="28"/>
        </w:rPr>
        <w:t>»</w:t>
      </w:r>
    </w:p>
    <w:p w:rsidR="005648FD" w:rsidRPr="00D42756" w:rsidRDefault="005648FD" w:rsidP="00564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56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5648FD" w:rsidRPr="00D42756" w:rsidRDefault="005648FD" w:rsidP="00564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56">
        <w:rPr>
          <w:rFonts w:ascii="Times New Roman" w:hAnsi="Times New Roman" w:cs="Times New Roman"/>
          <w:b/>
          <w:sz w:val="28"/>
          <w:szCs w:val="28"/>
        </w:rPr>
        <w:t xml:space="preserve">Кафедра онкологии и лучевой терапии с курсом </w:t>
      </w:r>
      <w:proofErr w:type="gramStart"/>
      <w:r w:rsidRPr="00D4275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756"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756">
        <w:rPr>
          <w:rFonts w:ascii="Times New Roman" w:hAnsi="Times New Roman" w:cs="Times New Roman"/>
          <w:b/>
          <w:sz w:val="28"/>
          <w:szCs w:val="28"/>
        </w:rPr>
        <w:t>Д.м.н.,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756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spellStart"/>
      <w:r w:rsidRPr="00D42756">
        <w:rPr>
          <w:rFonts w:ascii="Times New Roman" w:hAnsi="Times New Roman" w:cs="Times New Roman"/>
          <w:b/>
          <w:sz w:val="28"/>
          <w:szCs w:val="28"/>
        </w:rPr>
        <w:t>Зуков</w:t>
      </w:r>
      <w:proofErr w:type="spellEnd"/>
      <w:r w:rsidRPr="00D42756">
        <w:rPr>
          <w:rFonts w:ascii="Times New Roman" w:hAnsi="Times New Roman" w:cs="Times New Roman"/>
          <w:b/>
          <w:sz w:val="28"/>
          <w:szCs w:val="28"/>
        </w:rPr>
        <w:t xml:space="preserve"> Руслан Александрович</w:t>
      </w:r>
    </w:p>
    <w:p w:rsidR="005648FD" w:rsidRPr="00D42756" w:rsidRDefault="005648FD" w:rsidP="0056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56">
        <w:rPr>
          <w:rFonts w:ascii="Times New Roman" w:hAnsi="Times New Roman" w:cs="Times New Roman"/>
          <w:sz w:val="28"/>
          <w:szCs w:val="28"/>
        </w:rPr>
        <w:t>Реферат на тему</w:t>
      </w:r>
    </w:p>
    <w:p w:rsidR="005648FD" w:rsidRPr="00D42756" w:rsidRDefault="005648FD" w:rsidP="005648FD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D42756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Лучевая терапия при опухолях ЦНС</w:t>
      </w:r>
      <w:r w:rsidRPr="00D4275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56">
        <w:rPr>
          <w:rFonts w:ascii="Times New Roman" w:hAnsi="Times New Roman" w:cs="Times New Roman"/>
          <w:sz w:val="28"/>
          <w:szCs w:val="28"/>
        </w:rPr>
        <w:t>Выполнила: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56">
        <w:rPr>
          <w:rFonts w:ascii="Times New Roman" w:hAnsi="Times New Roman" w:cs="Times New Roman"/>
          <w:sz w:val="28"/>
          <w:szCs w:val="28"/>
        </w:rPr>
        <w:t>Клинический ординатор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56">
        <w:rPr>
          <w:rFonts w:ascii="Times New Roman" w:hAnsi="Times New Roman" w:cs="Times New Roman"/>
          <w:sz w:val="28"/>
          <w:szCs w:val="28"/>
        </w:rPr>
        <w:t>Привалихина Евгения Владимировна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56">
        <w:rPr>
          <w:rFonts w:ascii="Times New Roman" w:hAnsi="Times New Roman" w:cs="Times New Roman"/>
          <w:sz w:val="28"/>
          <w:szCs w:val="28"/>
        </w:rPr>
        <w:t>Проверил: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56">
        <w:rPr>
          <w:rFonts w:ascii="Times New Roman" w:hAnsi="Times New Roman" w:cs="Times New Roman"/>
          <w:sz w:val="28"/>
          <w:szCs w:val="28"/>
        </w:rPr>
        <w:t>Кафедральный руководитель ординатора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2756">
        <w:rPr>
          <w:rFonts w:ascii="Times New Roman" w:hAnsi="Times New Roman" w:cs="Times New Roman"/>
          <w:sz w:val="28"/>
          <w:szCs w:val="28"/>
        </w:rPr>
        <w:t>К.м.н.</w:t>
      </w:r>
      <w:proofErr w:type="gramStart"/>
      <w:r w:rsidRPr="00D4275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42756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Pr="00D42756">
        <w:rPr>
          <w:rFonts w:ascii="Times New Roman" w:hAnsi="Times New Roman" w:cs="Times New Roman"/>
          <w:sz w:val="28"/>
          <w:szCs w:val="28"/>
        </w:rPr>
        <w:t xml:space="preserve"> Гаврилюк Дмитрий Владимирович</w:t>
      </w: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Pr="00D42756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Pr="005C31FC" w:rsidRDefault="005648FD" w:rsidP="0056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648FD" w:rsidRPr="005C31FC" w:rsidSect="00A30529">
          <w:type w:val="nextPage"/>
          <w:pgSz w:w="11908" w:h="16974"/>
          <w:pgMar w:top="1134" w:right="1134" w:bottom="1134" w:left="1134" w:header="0" w:footer="0" w:gutter="0"/>
          <w:cols w:space="708"/>
          <w:docGrid w:linePitch="299"/>
        </w:sectPr>
      </w:pPr>
      <w:r w:rsidRPr="00D42756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7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21г</w:t>
      </w:r>
    </w:p>
    <w:p w:rsidR="003C0ED5" w:rsidRDefault="005648FD" w:rsidP="0056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648FD" w:rsidRDefault="005648FD" w:rsidP="005648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648FD" w:rsidRDefault="005648FD" w:rsidP="005648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Гистологическая классификация опухолей и опухолевидных поражений центральной нервной системы</w:t>
      </w:r>
    </w:p>
    <w:p w:rsidR="005648FD" w:rsidRDefault="005648FD" w:rsidP="005648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5648FD" w:rsidRDefault="005648FD" w:rsidP="005648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5648FD" w:rsidRDefault="005648FD" w:rsidP="005648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5648FD" w:rsidRDefault="005648FD" w:rsidP="005648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головного мозга – одно из наиболее тяжелых заболеваний человека. Среди всех новообразований опухоли мозга составляют около 10%.</w:t>
      </w:r>
    </w:p>
    <w:p w:rsidR="005648FD" w:rsidRDefault="005648FD" w:rsidP="005648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опухоли мозга в нашей стране ежегодно выявляются примерно у 30 тыс. человек, приблизительно столько же диагностируется вторичных (метастатических) опухолей.</w:t>
      </w:r>
    </w:p>
    <w:p w:rsidR="005648FD" w:rsidRDefault="005648FD" w:rsidP="005648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опухоли мозга часто возникают в детском возрасте (у детей среди всех опухолей около 20% составляют опухоли нервной системы).</w:t>
      </w:r>
    </w:p>
    <w:p w:rsidR="005648FD" w:rsidRDefault="005648FD" w:rsidP="005648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Гистологическая классификация опухолей и опухолевидных поражений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8FD" w:rsidRDefault="005648FD" w:rsidP="005648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Нейроэпителиальные опухоли: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Астроцитарные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Олигодендроглиальные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Смешанные глиомы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сосудистого сплетения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смешанные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-глиальные опухоли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Эмбриональные нейроэпителиальные опухоли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пухоли</w:t>
      </w:r>
      <w:r>
        <w:rPr>
          <w:rFonts w:ascii="Times New Roman" w:hAnsi="Times New Roman" w:cs="Times New Roman"/>
          <w:sz w:val="28"/>
          <w:szCs w:val="28"/>
        </w:rPr>
        <w:t xml:space="preserve"> паренхимы шишковидной железы</w:t>
      </w:r>
    </w:p>
    <w:p w:rsidR="005648FD" w:rsidRDefault="005648FD" w:rsidP="00564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пухоли</w:t>
      </w:r>
      <w:r>
        <w:rPr>
          <w:rFonts w:ascii="Times New Roman" w:hAnsi="Times New Roman" w:cs="Times New Roman"/>
          <w:sz w:val="28"/>
          <w:szCs w:val="28"/>
        </w:rPr>
        <w:t xml:space="preserve"> черепных спинальных нервов</w:t>
      </w:r>
    </w:p>
    <w:p w:rsidR="005648FD" w:rsidRDefault="005648FD" w:rsidP="005648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мозговых оболочек: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пухоли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менинготелиальных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Мезенхимальные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неменинготелиальные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Меланоцитарные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опухоли</w:t>
      </w:r>
      <w:r>
        <w:rPr>
          <w:rFonts w:ascii="Times New Roman" w:hAnsi="Times New Roman" w:cs="Times New Roman"/>
          <w:sz w:val="28"/>
          <w:szCs w:val="28"/>
        </w:rPr>
        <w:t xml:space="preserve"> оболочек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пухоли</w:t>
      </w:r>
      <w:r>
        <w:rPr>
          <w:rFonts w:ascii="Times New Roman" w:hAnsi="Times New Roman" w:cs="Times New Roman"/>
          <w:sz w:val="28"/>
          <w:szCs w:val="28"/>
        </w:rPr>
        <w:t xml:space="preserve"> гипофиза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остатков гипофизарного хода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</w:t>
      </w:r>
      <w:r>
        <w:rPr>
          <w:rFonts w:ascii="Times New Roman" w:hAnsi="Times New Roman" w:cs="Times New Roman"/>
          <w:sz w:val="28"/>
          <w:szCs w:val="28"/>
        </w:rPr>
        <w:t xml:space="preserve"> из зародышевых клеток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герминогенные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Опухоли</w:t>
      </w:r>
      <w:r>
        <w:rPr>
          <w:rFonts w:ascii="Times New Roman" w:hAnsi="Times New Roman" w:cs="Times New Roman"/>
          <w:sz w:val="28"/>
          <w:szCs w:val="28"/>
        </w:rPr>
        <w:t xml:space="preserve"> кроветворной ткани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</w:t>
      </w:r>
      <w:r>
        <w:rPr>
          <w:rFonts w:ascii="Times New Roman" w:hAnsi="Times New Roman" w:cs="Times New Roman"/>
          <w:sz w:val="28"/>
          <w:szCs w:val="28"/>
        </w:rPr>
        <w:t>, врастающие в полость черепа и позвоночный канал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Метастатические опухоли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</w:t>
      </w:r>
      <w:r>
        <w:rPr>
          <w:rFonts w:ascii="Times New Roman" w:hAnsi="Times New Roman" w:cs="Times New Roman"/>
          <w:sz w:val="28"/>
          <w:szCs w:val="28"/>
        </w:rPr>
        <w:t xml:space="preserve"> неясного происхождения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Кисты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Сосудистые опухолевидные поражения</w:t>
      </w:r>
    </w:p>
    <w:p w:rsidR="005648FD" w:rsidRDefault="005648FD" w:rsidP="005648F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Реактивные и воспалительные процессы, имитирующие опухоли</w:t>
      </w: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56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5648FD" w:rsidRDefault="005648FD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48FD">
        <w:rPr>
          <w:rFonts w:ascii="Times New Roman" w:hAnsi="Times New Roman" w:cs="Times New Roman"/>
          <w:sz w:val="28"/>
          <w:szCs w:val="28"/>
        </w:rPr>
        <w:t>собенности анамнеза,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FD">
        <w:rPr>
          <w:rFonts w:ascii="Times New Roman" w:hAnsi="Times New Roman" w:cs="Times New Roman"/>
          <w:sz w:val="28"/>
          <w:szCs w:val="28"/>
        </w:rPr>
        <w:t>неуклонное прогрессирование заболевания, сочетание общемозговых</w:t>
      </w:r>
      <w:r>
        <w:rPr>
          <w:rFonts w:ascii="Times New Roman" w:hAnsi="Times New Roman" w:cs="Times New Roman"/>
          <w:sz w:val="28"/>
          <w:szCs w:val="28"/>
        </w:rPr>
        <w:t xml:space="preserve">, очаговых и дислокационных симптомов чаще всего дают основание заподозрить опухоль мозга. Однако, точный топический диагноз и уточнение таких важных для возможной операции деталей, как характер роста опухоли (инфильтративный или узловой), кровоснабжение,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путям и прочее, можно поставить после комплексного обследования больного.</w:t>
      </w: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FD" w:rsidRDefault="005648FD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лабораторных и функциональных исследований.</w:t>
      </w:r>
    </w:p>
    <w:p w:rsidR="00EA2112" w:rsidRDefault="00EA2112" w:rsidP="00564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FD" w:rsidRDefault="005648FD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цереброспинальной жидкости позволяет выявить весьма типичные для некоторых опухолей симптомы: повышение давления и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-клеточной диссоциации в цереброспинальной жидкости (высокий уровень белка при нормальном содержании клеточных элементов).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глазного дна позволяет выявить симптомы повышения внутричерепного давления и признаки первичного поражения зрительных нервов.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краниографическом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исследовании могут быть обнаружены характерные признаки </w:t>
      </w:r>
      <w:r>
        <w:rPr>
          <w:rFonts w:ascii="Times New Roman" w:hAnsi="Times New Roman" w:cs="Times New Roman"/>
          <w:sz w:val="28"/>
          <w:szCs w:val="28"/>
        </w:rPr>
        <w:t>повышения внутричерепного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и локальные изменения черепа, вызванные самой опухолью, такие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кости, ее инфильтрация опухолью.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Широко применявшиеся еще до недавнего времени контрастирование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 воздухом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пневмоэнцефал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пневмовентрикулография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рентгеноконтрастным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веществом в настоящее время практически не употребляется.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Радиоизотопное сканирование позволяет диагностировать опухоли, обладающие способностью накапливать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радиофармпрепараты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менингиомы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злокачественные глиомы, метастазы).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Решающее значение, безусловно, имеют рентгеновская компьютерная томография, магнитно-резонансная томография и ангиография.</w:t>
      </w:r>
    </w:p>
    <w:p w:rsidR="00EA2112" w:rsidRDefault="00EA2112" w:rsidP="00EA21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112" w:rsidRDefault="00EA2112" w:rsidP="00EA21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методом лечения большинства опухолей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хирургический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внемозговые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опухоли могут быть удалены полностью. При внутримозговых опухолях часто приходится ограничиваться частичным удалением или выполнять паллиативные операции. При злокачественных опухолях помимо хирургического лечения используется радиотерапия, применяются химиотерапевтические препараты.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112" w:rsidRDefault="00EA2112" w:rsidP="00EA21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терапия опухолей головного мозга.</w:t>
      </w:r>
    </w:p>
    <w:p w:rsidR="005648FD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лучевая терапия опухолей головного мозга применяется в плане комбинированного лечения после операции, а также в случаях рецидива заболевания.</w:t>
      </w:r>
    </w:p>
    <w:p w:rsidR="00EA2112" w:rsidRDefault="00EA2112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послеоперационной лучевой терапии является дополнительно воздействие </w:t>
      </w:r>
      <w:r w:rsidR="002A5748">
        <w:rPr>
          <w:rFonts w:ascii="Times New Roman" w:hAnsi="Times New Roman" w:cs="Times New Roman"/>
          <w:sz w:val="28"/>
          <w:szCs w:val="28"/>
        </w:rPr>
        <w:t>на опухоль при нерадикальном ее удалении или облучении ложа опухоли после радикальных операций для предупреждений рецидива.</w:t>
      </w:r>
    </w:p>
    <w:p w:rsidR="002A5748" w:rsidRDefault="002A5748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терапия глиальных опухолей осуществляется дистанционными и радиохирургическими методами или их сочетанием. Дистанционную лучевую терапию проводят на высокоэнергетических источниках излучения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гамма-терапевтических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установках и линейных ускорителях электронов (ЛУЭ). Чаще всего используется статическое многопольное облучение.</w:t>
      </w:r>
    </w:p>
    <w:p w:rsidR="002A5748" w:rsidRDefault="002A5748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лучевой терапии используют высокоэнергетические электроны (10-15 МэВ), генерируемые линейными или циклическими ускорителями. Регулированием энергии электронного пучка, подбора различных формирующих поле блоков или тубусов можно добиться точного и максимального облучения опухоли и минимального облучения нормальных тканей.</w:t>
      </w:r>
    </w:p>
    <w:p w:rsidR="002A5748" w:rsidRDefault="002A5748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операции к опухоли за один сеанс облучения подводят суммарную поглощенную дозу 15-20 Гр. Такая же доза эквивалентна примерно 40 Гр, подведенным обычным способом – 2 Гр ежедневно 5 раз в неделю. Однократное облучение опухоли в дозе 15-20 Гр не влияет на течение послеоперационного периода, вызывает гибель большинства субклинических метастазов и радиочувствительных клеток, предупреждая диссеминацию жизнеспособных опухолевых клеток во время операции. После удаления опухоли осуществляется обычное послеоперационное облучение до суммарной дозы 60Гр.</w:t>
      </w:r>
    </w:p>
    <w:p w:rsidR="00D736DC" w:rsidRDefault="00D736DC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стереотаксическом радиохирургическом лечении осуществляют прицельное облучение малых мишеней, для чего применяют специальные стереотаксические устройства – «Гамма-нож»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-нож». Используются точные оптические направляющие системы для трехмерной (</w:t>
      </w: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D736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dimensional</w:t>
      </w:r>
      <w:r w:rsidRPr="00D736D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радиотерапии множественными источниками.</w:t>
      </w:r>
    </w:p>
    <w:p w:rsidR="00D736DC" w:rsidRDefault="00D736DC" w:rsidP="00EA2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для отбора больных для стереотаксического </w:t>
      </w:r>
      <w:r>
        <w:rPr>
          <w:rFonts w:ascii="Times New Roman" w:hAnsi="Times New Roman" w:cs="Times New Roman"/>
          <w:sz w:val="28"/>
          <w:szCs w:val="28"/>
        </w:rPr>
        <w:t>радиохирурги</w:t>
      </w:r>
      <w:r>
        <w:rPr>
          <w:rFonts w:ascii="Times New Roman" w:hAnsi="Times New Roman" w:cs="Times New Roman"/>
          <w:sz w:val="28"/>
          <w:szCs w:val="28"/>
        </w:rPr>
        <w:t>ческого лечения:</w:t>
      </w:r>
    </w:p>
    <w:p w:rsidR="00D736DC" w:rsidRDefault="00D736DC" w:rsidP="00D736D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одного или более метастазов в головном мозге (до 10)</w:t>
      </w:r>
    </w:p>
    <w:p w:rsidR="00D736DC" w:rsidRDefault="00D736DC" w:rsidP="00D736D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очагов – не более 3-3,5 см</w:t>
      </w:r>
    </w:p>
    <w:p w:rsidR="00D736DC" w:rsidRDefault="00D736DC" w:rsidP="00D736D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Локализация очагов в функционально важных зонах или глубинных структурах мозга</w:t>
      </w:r>
    </w:p>
    <w:p w:rsidR="00D736DC" w:rsidRDefault="00D736DC" w:rsidP="00D736D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Удовлетворительное физическое и психическое состояние больных (по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менее 70 баллов)</w:t>
      </w:r>
    </w:p>
    <w:p w:rsidR="00D736DC" w:rsidRDefault="00D736DC" w:rsidP="00D736D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по диаметру очага, а соответственно, и по его объему обусловлено предупреждением развития лучевых повреждений.</w:t>
      </w:r>
    </w:p>
    <w:p w:rsidR="00D736DC" w:rsidRDefault="00D736DC" w:rsidP="00D736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Противопоказания к</w:t>
      </w:r>
      <w:r>
        <w:rPr>
          <w:rFonts w:ascii="Times New Roman" w:hAnsi="Times New Roman" w:cs="Times New Roman"/>
          <w:sz w:val="28"/>
          <w:szCs w:val="28"/>
        </w:rPr>
        <w:t xml:space="preserve"> стереотаксическо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радиохирурги</w:t>
      </w:r>
      <w:r>
        <w:rPr>
          <w:rFonts w:ascii="Times New Roman" w:hAnsi="Times New Roman" w:cs="Times New Roman"/>
          <w:sz w:val="28"/>
          <w:szCs w:val="28"/>
        </w:rPr>
        <w:t>ческому вмешательству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6DC" w:rsidRDefault="00D736DC" w:rsidP="00D736D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размеры патологического очага (более 3,5см в диаметре)</w:t>
      </w:r>
    </w:p>
    <w:p w:rsidR="00D736DC" w:rsidRDefault="00D736DC" w:rsidP="00D736D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снижения уровня физического и психического состояния пациента</w:t>
      </w:r>
    </w:p>
    <w:p w:rsidR="00D736DC" w:rsidRDefault="00D736DC" w:rsidP="00D736D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быстро прогрессирующего неврологического дефицита и симптомов дислокации мозга</w:t>
      </w:r>
    </w:p>
    <w:p w:rsidR="00D736DC" w:rsidRDefault="00D736DC" w:rsidP="00D736D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Выраженная диссеминация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интракраниального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метастатического процесса</w:t>
      </w:r>
    </w:p>
    <w:p w:rsidR="00D736DC" w:rsidRDefault="00D736DC" w:rsidP="00D736D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лечение экстракраниальных опухолевых очагов</w:t>
      </w:r>
    </w:p>
    <w:p w:rsidR="00A21811" w:rsidRDefault="00A21811" w:rsidP="00A21811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очаговая доза при проведении облучения метастазов зависит от ранее проведенного облучения всего головного мозга. Рекомендуемые дозы после подведения дозы 30 Гр на весь головной мозг: доза по краю опухоли 24 Гр для очагов диаметром менее 20 мм и 18 Гр – для метастазов диаметром более 20 мм.</w:t>
      </w:r>
    </w:p>
    <w:p w:rsidR="00A21811" w:rsidRDefault="00A21811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стереотаксического радиохирургического вмешательства могут развиваться постлучевые реакции в виде отека в зоне облучения с возможным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самого очага, так и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перифокального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отека, а также формирование внутримозговых кист. Применение ПЭТ позволяет провести дифференциальный диагноз между продолженным ростом метастаза и лучевой реакцией.</w:t>
      </w:r>
    </w:p>
    <w:p w:rsidR="00A21811" w:rsidRDefault="00A21811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лечении некоторых опухолей головного мозга применяют бор-нейтрон-захватную терапию. Используют феномен накопления в опухоли бора 10, который в результате реакции нейтронного захвата при облучении нейтронами низких энергий выделяет альфа-частицы с высокой поражающей способностью и малой длинной пробега.</w:t>
      </w:r>
    </w:p>
    <w:p w:rsidR="00A21811" w:rsidRDefault="00A21811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Лучевую терапию применяют и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субтенториальных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опухолей головного мозга.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Медуллобластомы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чувствительны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облучению. Лучевую терапию в качестве самостоятельного вида лечения обычно выполняют после декомпрессии и биопсии опухоли.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Медуллобластомы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метастазированию по спинномозговому каналу, поэтому облучению подвергают не только мозжечок, но и спинной мозг. Существуют разные варианты облучения: полушария головного мозга 30-35 Гр, задняя черепная ямка в суммарной дозе 50-55 Гр, весь спинной мозг 30</w:t>
      </w:r>
      <w:r w:rsidR="00C0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 При других вариантах спинной мозг не облучают до первого рецидива по спинномозговому каналу. После распространения опухоли облучают в дозах 30-35 Гр.</w:t>
      </w:r>
    </w:p>
    <w:p w:rsidR="00A21811" w:rsidRDefault="00C01A39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операции в зависимости от радикальности хирургического вмешательства облучению ложе удаленной опухоли или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неудалимую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в дозах 45-60 Гр, весь головной мог в дозе 30-35 Гр, спинной мозг в дозе 30 Гр.</w:t>
      </w:r>
    </w:p>
    <w:p w:rsidR="00C01A39" w:rsidRDefault="00C01A39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Саркомы мозжечка подвергают облучению в суммарных дозах не менее 60 Гр, доза за фракцию 1,8 Гр.</w:t>
      </w:r>
    </w:p>
    <w:p w:rsidR="00C01A39" w:rsidRDefault="00C01A39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Больным анапластическими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эпендимомами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облучение в пане комбинированного лечения после оперативного вмешательства и в сочетании с хим</w:t>
      </w:r>
      <w:r w:rsidR="00A30529">
        <w:rPr>
          <w:rFonts w:ascii="Times New Roman" w:hAnsi="Times New Roman" w:cs="Times New Roman"/>
          <w:sz w:val="28"/>
          <w:szCs w:val="28"/>
        </w:rPr>
        <w:t>иотерапией. Производят облучение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области первичного поражения, которое сочетают с облучением всего головного и спинного мозга. Суммарная поглощенная доза в первичной опухоли 45-60 Гр.</w:t>
      </w:r>
    </w:p>
    <w:p w:rsidR="00C01A39" w:rsidRDefault="00C01A39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Облучение гипофиза проводят с целью его разрушения. Чаще всего это связано с наличием аденом. В большинстве случаев уменьшается выраженность болей, увеличивается на 6-12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продолжительности жизни.</w:t>
      </w:r>
    </w:p>
    <w:p w:rsidR="00C01A39" w:rsidRDefault="00C01A39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Облучение аденом гипофиза проводят в качестве самостоятельного вида лечения или после хирургического вмешательства с целью предупреждения рецидивов.</w:t>
      </w:r>
    </w:p>
    <w:p w:rsidR="00C01A39" w:rsidRDefault="00C01A39" w:rsidP="00A21811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Облучения гипофиза осуществляют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гамма-аппаратах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линейных ускорителях (ЛЭУ) в статических и подвижных режимах, а также на синхроциклотронах, формирующих узкие протонные пучки.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Статическое облучение проводят через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 или через 2 височных и 1 лобное. Обычно облучают 2 поля в день, разовая доза с двух полей 1,8 Гр. Суммарные поглощенные дозы 55-70 Гр.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также подвижное или ротационное облучение с углом качания 180.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протонной терапии аденом гипофиза используют пучок протонов диаметром 5-10 мм по 50% изодозе. Облучение однократное в течение 8-20 мин. Поглощенные дозы 80-1220 Гр. При облучении аденом гипофиза больших размеров выполняют 2х и 3х зонное облучение.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A30529" w:rsidRDefault="00A30529" w:rsidP="00A30529">
      <w:pPr>
        <w:spacing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терапия опухолей спинного мозга.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терапия опухолей спинного мозга показана только после оперативного их удаления и с симптоматической целью.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дистанционное облучение на высокоэнергетических источниках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гамма-аппаратах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линейных ускорителях электронов. Лучевую терапию осуществляют в статическом или подвижном режиме. При статической терапии проводят с 2х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паравертебральных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полей с наклоном к продольной оси на 15-20град. Разовая доза поглощения -2 Гр, суммарная поглощенная доза зависит от гистологического варианта опухоли, ее размеров – 40-60Гр.</w:t>
      </w:r>
    </w:p>
    <w:p w:rsidR="00A30529" w:rsidRDefault="00A30529" w:rsidP="00A3052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A30529" w:rsidRDefault="00A30529" w:rsidP="00A30529">
      <w:pPr>
        <w:spacing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30529" w:rsidRDefault="00A30529" w:rsidP="00A3052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Онкология: модульный практикум: учебное пособие. Давыдов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Л.З., Поляков Б.И., Ганцев Ш.Х.,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и др. 2009- 320с.</w:t>
      </w:r>
    </w:p>
    <w:p w:rsidR="00A30529" w:rsidRDefault="00A30529" w:rsidP="00A3052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диагностика и терапия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С.К.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В.Е. Синицын. – М.: ГЭОТА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Медиа, 2010- 304с.</w:t>
      </w:r>
    </w:p>
    <w:p w:rsidR="00A30529" w:rsidRPr="00A30529" w:rsidRDefault="00A30529" w:rsidP="00A3052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терапия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Pr="00A305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Г.Е. Труфанов, М.А. Асатурян, Г.М. Жаринов,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В.Н.Малаховский</w:t>
      </w:r>
      <w:proofErr w:type="spellEnd"/>
      <w:r w:rsidRPr="00A305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 ред. Г.Е. Труфанова.- М.: ГЭОТА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Медиа, 2013- 208с</w:t>
      </w:r>
    </w:p>
    <w:sectPr w:rsidR="00A30529" w:rsidRPr="00A30529" w:rsidSect="00A30529">
      <w:type w:val="nextPage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607"/>
    <w:multiLevelType w:val="hybridMultilevel"/>
    <w:tmpl w:val="8F80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FCF"/>
    <w:multiLevelType w:val="hybridMultilevel"/>
    <w:tmpl w:val="EFE02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E35DB"/>
    <w:multiLevelType w:val="hybridMultilevel"/>
    <w:tmpl w:val="A346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C001E9"/>
    <w:multiLevelType w:val="hybridMultilevel"/>
    <w:tmpl w:val="A97ED9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477859"/>
    <w:multiLevelType w:val="hybridMultilevel"/>
    <w:tmpl w:val="99307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669C6"/>
    <w:multiLevelType w:val="hybridMultilevel"/>
    <w:tmpl w:val="1826E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4B7BEE"/>
    <w:multiLevelType w:val="hybridMultilevel"/>
    <w:tmpl w:val="2BF4852A"/>
    <w:lvl w:ilvl="0" w:tplc="EDC43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4"/>
    <w:rsid w:val="00000585"/>
    <w:rsid w:val="000019C2"/>
    <w:rsid w:val="000073C3"/>
    <w:rsid w:val="0002258D"/>
    <w:rsid w:val="000309D8"/>
    <w:rsid w:val="00031318"/>
    <w:rsid w:val="000424AB"/>
    <w:rsid w:val="000530EF"/>
    <w:rsid w:val="00067265"/>
    <w:rsid w:val="00067C09"/>
    <w:rsid w:val="00072281"/>
    <w:rsid w:val="00073B2F"/>
    <w:rsid w:val="00077B9C"/>
    <w:rsid w:val="000954F3"/>
    <w:rsid w:val="000A46D7"/>
    <w:rsid w:val="000D7D5C"/>
    <w:rsid w:val="000E5351"/>
    <w:rsid w:val="000E6F29"/>
    <w:rsid w:val="000F1B40"/>
    <w:rsid w:val="001074AF"/>
    <w:rsid w:val="00113B73"/>
    <w:rsid w:val="00122201"/>
    <w:rsid w:val="001316AA"/>
    <w:rsid w:val="00147470"/>
    <w:rsid w:val="00153226"/>
    <w:rsid w:val="0016082A"/>
    <w:rsid w:val="001649BD"/>
    <w:rsid w:val="001804C4"/>
    <w:rsid w:val="00182DE3"/>
    <w:rsid w:val="00184DB8"/>
    <w:rsid w:val="001A1FB5"/>
    <w:rsid w:val="001A47F0"/>
    <w:rsid w:val="001B56C0"/>
    <w:rsid w:val="001B58CD"/>
    <w:rsid w:val="001B7DF4"/>
    <w:rsid w:val="001F2CC5"/>
    <w:rsid w:val="00204B09"/>
    <w:rsid w:val="0021329C"/>
    <w:rsid w:val="0025132F"/>
    <w:rsid w:val="00251A8B"/>
    <w:rsid w:val="00264A37"/>
    <w:rsid w:val="00266D53"/>
    <w:rsid w:val="00276328"/>
    <w:rsid w:val="002825FE"/>
    <w:rsid w:val="00295E12"/>
    <w:rsid w:val="002A5748"/>
    <w:rsid w:val="002B5518"/>
    <w:rsid w:val="002C0FCA"/>
    <w:rsid w:val="002C2CB6"/>
    <w:rsid w:val="002C4B92"/>
    <w:rsid w:val="002C7629"/>
    <w:rsid w:val="002C7784"/>
    <w:rsid w:val="002E11B8"/>
    <w:rsid w:val="002E2313"/>
    <w:rsid w:val="002F5185"/>
    <w:rsid w:val="0030383D"/>
    <w:rsid w:val="0031065F"/>
    <w:rsid w:val="00311ECC"/>
    <w:rsid w:val="00322777"/>
    <w:rsid w:val="003239BE"/>
    <w:rsid w:val="00323BCB"/>
    <w:rsid w:val="0032733E"/>
    <w:rsid w:val="003362DB"/>
    <w:rsid w:val="0033771F"/>
    <w:rsid w:val="0034103E"/>
    <w:rsid w:val="00343011"/>
    <w:rsid w:val="00361210"/>
    <w:rsid w:val="00377554"/>
    <w:rsid w:val="0039118C"/>
    <w:rsid w:val="00394C8D"/>
    <w:rsid w:val="003A3ED7"/>
    <w:rsid w:val="003B6FAC"/>
    <w:rsid w:val="003C0ED5"/>
    <w:rsid w:val="003D0043"/>
    <w:rsid w:val="003D7624"/>
    <w:rsid w:val="00401F91"/>
    <w:rsid w:val="00430AFF"/>
    <w:rsid w:val="00460140"/>
    <w:rsid w:val="00465E7A"/>
    <w:rsid w:val="0048260F"/>
    <w:rsid w:val="00483B8D"/>
    <w:rsid w:val="004908C6"/>
    <w:rsid w:val="00494825"/>
    <w:rsid w:val="004A17B4"/>
    <w:rsid w:val="004B307D"/>
    <w:rsid w:val="004B58FD"/>
    <w:rsid w:val="004C45B3"/>
    <w:rsid w:val="004E0B4A"/>
    <w:rsid w:val="004F3B0B"/>
    <w:rsid w:val="00500F0F"/>
    <w:rsid w:val="00502021"/>
    <w:rsid w:val="0050312A"/>
    <w:rsid w:val="005119CC"/>
    <w:rsid w:val="0051496E"/>
    <w:rsid w:val="005376F5"/>
    <w:rsid w:val="005648FD"/>
    <w:rsid w:val="005670E6"/>
    <w:rsid w:val="00577D1E"/>
    <w:rsid w:val="00580043"/>
    <w:rsid w:val="00594DEC"/>
    <w:rsid w:val="005A7F74"/>
    <w:rsid w:val="005B170F"/>
    <w:rsid w:val="005B3C00"/>
    <w:rsid w:val="005B5A42"/>
    <w:rsid w:val="005E3B04"/>
    <w:rsid w:val="005F5F71"/>
    <w:rsid w:val="005F673B"/>
    <w:rsid w:val="0061112B"/>
    <w:rsid w:val="00620386"/>
    <w:rsid w:val="0065237F"/>
    <w:rsid w:val="00655039"/>
    <w:rsid w:val="0068138D"/>
    <w:rsid w:val="00694D6D"/>
    <w:rsid w:val="006A0C90"/>
    <w:rsid w:val="006C5601"/>
    <w:rsid w:val="006C5F92"/>
    <w:rsid w:val="006D348D"/>
    <w:rsid w:val="006D5918"/>
    <w:rsid w:val="006E231B"/>
    <w:rsid w:val="006F118D"/>
    <w:rsid w:val="00706A47"/>
    <w:rsid w:val="00725DE0"/>
    <w:rsid w:val="007379D4"/>
    <w:rsid w:val="00740EA2"/>
    <w:rsid w:val="007445C4"/>
    <w:rsid w:val="00762018"/>
    <w:rsid w:val="007634C6"/>
    <w:rsid w:val="00780E7E"/>
    <w:rsid w:val="00781BBC"/>
    <w:rsid w:val="007841BD"/>
    <w:rsid w:val="007912C5"/>
    <w:rsid w:val="007A2732"/>
    <w:rsid w:val="007B6793"/>
    <w:rsid w:val="007B6E81"/>
    <w:rsid w:val="007C5F98"/>
    <w:rsid w:val="007C657B"/>
    <w:rsid w:val="007E14EF"/>
    <w:rsid w:val="007E70AD"/>
    <w:rsid w:val="007F0CA0"/>
    <w:rsid w:val="00822C95"/>
    <w:rsid w:val="00850933"/>
    <w:rsid w:val="00862458"/>
    <w:rsid w:val="00876EC0"/>
    <w:rsid w:val="0088104C"/>
    <w:rsid w:val="008A1210"/>
    <w:rsid w:val="008A5D2A"/>
    <w:rsid w:val="008A69E9"/>
    <w:rsid w:val="008B1A16"/>
    <w:rsid w:val="008C3E8F"/>
    <w:rsid w:val="008E45C8"/>
    <w:rsid w:val="008E5B0D"/>
    <w:rsid w:val="008F083D"/>
    <w:rsid w:val="008F6CBF"/>
    <w:rsid w:val="00900EEC"/>
    <w:rsid w:val="0091096F"/>
    <w:rsid w:val="00922532"/>
    <w:rsid w:val="009333F0"/>
    <w:rsid w:val="00935138"/>
    <w:rsid w:val="00951813"/>
    <w:rsid w:val="00963439"/>
    <w:rsid w:val="00964A82"/>
    <w:rsid w:val="00976D8D"/>
    <w:rsid w:val="009806D8"/>
    <w:rsid w:val="009946AF"/>
    <w:rsid w:val="00994C59"/>
    <w:rsid w:val="009B2198"/>
    <w:rsid w:val="009C2823"/>
    <w:rsid w:val="009C5114"/>
    <w:rsid w:val="009D2648"/>
    <w:rsid w:val="009D415D"/>
    <w:rsid w:val="00A01C29"/>
    <w:rsid w:val="00A072A9"/>
    <w:rsid w:val="00A20245"/>
    <w:rsid w:val="00A21811"/>
    <w:rsid w:val="00A239EB"/>
    <w:rsid w:val="00A30529"/>
    <w:rsid w:val="00A312FA"/>
    <w:rsid w:val="00A351F6"/>
    <w:rsid w:val="00A4000F"/>
    <w:rsid w:val="00A50705"/>
    <w:rsid w:val="00A61B7A"/>
    <w:rsid w:val="00A63679"/>
    <w:rsid w:val="00A74BCB"/>
    <w:rsid w:val="00A7588E"/>
    <w:rsid w:val="00A87C03"/>
    <w:rsid w:val="00A90402"/>
    <w:rsid w:val="00A922BD"/>
    <w:rsid w:val="00AC578F"/>
    <w:rsid w:val="00AD1547"/>
    <w:rsid w:val="00AE5836"/>
    <w:rsid w:val="00AF5EEB"/>
    <w:rsid w:val="00B25618"/>
    <w:rsid w:val="00B3027F"/>
    <w:rsid w:val="00B337E9"/>
    <w:rsid w:val="00B4126A"/>
    <w:rsid w:val="00B43B1F"/>
    <w:rsid w:val="00B60C3B"/>
    <w:rsid w:val="00B66DD4"/>
    <w:rsid w:val="00B72B11"/>
    <w:rsid w:val="00B73906"/>
    <w:rsid w:val="00B909D9"/>
    <w:rsid w:val="00BA53A1"/>
    <w:rsid w:val="00BC0088"/>
    <w:rsid w:val="00BC28E2"/>
    <w:rsid w:val="00BC74D5"/>
    <w:rsid w:val="00C01A39"/>
    <w:rsid w:val="00C16D72"/>
    <w:rsid w:val="00C3107D"/>
    <w:rsid w:val="00C32A85"/>
    <w:rsid w:val="00C379E0"/>
    <w:rsid w:val="00C43309"/>
    <w:rsid w:val="00C43327"/>
    <w:rsid w:val="00C51476"/>
    <w:rsid w:val="00C51616"/>
    <w:rsid w:val="00C5161C"/>
    <w:rsid w:val="00C60348"/>
    <w:rsid w:val="00C63A16"/>
    <w:rsid w:val="00C66C62"/>
    <w:rsid w:val="00C8148A"/>
    <w:rsid w:val="00C939D2"/>
    <w:rsid w:val="00C93B99"/>
    <w:rsid w:val="00CA442D"/>
    <w:rsid w:val="00CB15A7"/>
    <w:rsid w:val="00CB74E7"/>
    <w:rsid w:val="00CC3398"/>
    <w:rsid w:val="00CC5786"/>
    <w:rsid w:val="00CD2A45"/>
    <w:rsid w:val="00CD3DB0"/>
    <w:rsid w:val="00CD69FA"/>
    <w:rsid w:val="00CF1FF2"/>
    <w:rsid w:val="00D021DE"/>
    <w:rsid w:val="00D07F66"/>
    <w:rsid w:val="00D129B0"/>
    <w:rsid w:val="00D26860"/>
    <w:rsid w:val="00D444B4"/>
    <w:rsid w:val="00D570AE"/>
    <w:rsid w:val="00D57947"/>
    <w:rsid w:val="00D71669"/>
    <w:rsid w:val="00D736DC"/>
    <w:rsid w:val="00D77EA2"/>
    <w:rsid w:val="00D86D24"/>
    <w:rsid w:val="00D90CBB"/>
    <w:rsid w:val="00DB3DC7"/>
    <w:rsid w:val="00DC39B9"/>
    <w:rsid w:val="00DC3DAF"/>
    <w:rsid w:val="00DE0E25"/>
    <w:rsid w:val="00DF05FF"/>
    <w:rsid w:val="00E1005C"/>
    <w:rsid w:val="00E110A0"/>
    <w:rsid w:val="00E24F6E"/>
    <w:rsid w:val="00E26281"/>
    <w:rsid w:val="00E44C03"/>
    <w:rsid w:val="00E52760"/>
    <w:rsid w:val="00E639A3"/>
    <w:rsid w:val="00E9190B"/>
    <w:rsid w:val="00EA1176"/>
    <w:rsid w:val="00EA1266"/>
    <w:rsid w:val="00EA2112"/>
    <w:rsid w:val="00EA2CFB"/>
    <w:rsid w:val="00EB1338"/>
    <w:rsid w:val="00EB1CB9"/>
    <w:rsid w:val="00EB57AD"/>
    <w:rsid w:val="00EB5F85"/>
    <w:rsid w:val="00EB62C0"/>
    <w:rsid w:val="00EC0212"/>
    <w:rsid w:val="00ED1BB7"/>
    <w:rsid w:val="00EE151F"/>
    <w:rsid w:val="00EE4297"/>
    <w:rsid w:val="00EE5EB9"/>
    <w:rsid w:val="00EF0CF7"/>
    <w:rsid w:val="00F00752"/>
    <w:rsid w:val="00F00E75"/>
    <w:rsid w:val="00F42A7F"/>
    <w:rsid w:val="00F43345"/>
    <w:rsid w:val="00F51F15"/>
    <w:rsid w:val="00F73529"/>
    <w:rsid w:val="00F7459B"/>
    <w:rsid w:val="00F76EEA"/>
    <w:rsid w:val="00F81279"/>
    <w:rsid w:val="00FB5BE5"/>
    <w:rsid w:val="00FD2AFC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D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D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2021-02-24T13:35:00Z</dcterms:created>
  <dcterms:modified xsi:type="dcterms:W3CDTF">2021-02-24T15:11:00Z</dcterms:modified>
</cp:coreProperties>
</file>