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932E" w14:textId="77777777" w:rsidR="00582635" w:rsidRPr="00582635" w:rsidRDefault="00582635" w:rsidP="0058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63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D433D39" w14:textId="77777777" w:rsidR="00582635" w:rsidRPr="00582635" w:rsidRDefault="00582635" w:rsidP="00582635">
      <w:pPr>
        <w:jc w:val="center"/>
        <w:rPr>
          <w:rFonts w:ascii="Times New Roman" w:hAnsi="Times New Roman" w:cs="Times New Roman"/>
        </w:rPr>
      </w:pPr>
    </w:p>
    <w:p w14:paraId="1790BB08" w14:textId="77777777" w:rsidR="00582635" w:rsidRPr="00582635" w:rsidRDefault="00B53157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582635" w:rsidRPr="005826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2663D72F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42DF2B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3785E32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BC27B61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F042290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82635">
        <w:rPr>
          <w:rStyle w:val="a7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6CAEBE7C" w14:textId="36A4540F" w:rsidR="00582635" w:rsidRPr="00582635" w:rsidRDefault="00582635" w:rsidP="00582635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582635">
        <w:rPr>
          <w:rStyle w:val="a7"/>
          <w:rFonts w:ascii="Times New Roman" w:hAnsi="Times New Roman" w:cs="Times New Roman"/>
          <w:color w:val="auto"/>
          <w:sz w:val="40"/>
          <w:szCs w:val="40"/>
        </w:rPr>
        <w:t>«</w:t>
      </w:r>
      <w:r w:rsidRPr="00582635">
        <w:rPr>
          <w:rFonts w:ascii="Times New Roman" w:hAnsi="Times New Roman" w:cs="Times New Roman"/>
          <w:sz w:val="40"/>
          <w:szCs w:val="40"/>
          <w:lang w:eastAsia="ru-RU"/>
        </w:rPr>
        <w:t>Повреждение вращательной манжеты плеча»</w:t>
      </w:r>
    </w:p>
    <w:p w14:paraId="06CE828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B7222A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A9121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05274AD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F6E7E6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CF3477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7C0AC16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3AB8130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587DB6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F853B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CB0326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E8B5A1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30CCE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D4F2ED4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51C44C9D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2BBF574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2FC45BDA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178807C6" w14:textId="73A31AF3" w:rsidR="00582635" w:rsidRPr="00582635" w:rsidRDefault="00B53157" w:rsidP="00B53157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B53157"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 w:rsidRPr="00B53157">
        <w:rPr>
          <w:rFonts w:ascii="Times New Roman" w:hAnsi="Times New Roman" w:cs="Times New Roman"/>
          <w:sz w:val="28"/>
          <w:szCs w:val="28"/>
          <w:lang w:eastAsia="ru-RU"/>
        </w:rPr>
        <w:t xml:space="preserve"> М.Д.</w:t>
      </w:r>
      <w:bookmarkStart w:id="0" w:name="_GoBack"/>
      <w:bookmarkEnd w:id="0"/>
    </w:p>
    <w:p w14:paraId="589F01E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1A00D8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B9F42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7BB6F4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CA9AF9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C327A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DD4F0A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1D223A33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51F7B16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3C1DC8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1F36D3BC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56583DA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728010A4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2635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360B6A9A" w14:textId="77777777" w:rsidR="00582635" w:rsidRPr="00582635" w:rsidRDefault="00582635" w:rsidP="0058263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реферата</w:t>
      </w:r>
    </w:p>
    <w:p w14:paraId="7C58DAE9" w14:textId="074CF0AE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6F0555B5" w14:textId="0B1491C6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повреждений вращательной манжеты плеча</w:t>
      </w:r>
    </w:p>
    <w:p w14:paraId="3AB5F0B3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70DFC4E3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53912BB4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03468052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</w:t>
      </w:r>
    </w:p>
    <w:p w14:paraId="42B57ACB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47348FA5" w14:textId="2029998D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76F47D40" w14:textId="6FB1D8F4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46778BE0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5F0CE96B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45D82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8C2C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A56E9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997D8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18173A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B95009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3B653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B8BD0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E04B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2520D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EE1CB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FA662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C942B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F3827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FEFF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10E35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FDA90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400B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DB633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851EDD" w14:textId="451C6F01" w:rsidR="00582635" w:rsidRP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3585481F" w14:textId="6EB94B28" w:rsidR="002C2DD3" w:rsidRPr="00582635" w:rsidRDefault="001531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Повреждение вращательной манжеты плеча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рецидивирующие, неоднократные вывихи головки плечевой кости, возникающие в связи с повреждением суставной губы (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Bankart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дефекта головки плеча (Хилл-Сакса)</w:t>
      </w:r>
    </w:p>
    <w:p w14:paraId="3EFEC7C1" w14:textId="0322C4E2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классификация повреждений вращательной манжеты плеча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214FF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этиологии:</w:t>
      </w:r>
    </w:p>
    <w:p w14:paraId="352C6B54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Травматический —вследствие острой травмы сустава;</w:t>
      </w:r>
    </w:p>
    <w:p w14:paraId="041E568D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Нетравматический — вследствие дегенеративно-дистрофических поражений внутрисуставных структур;</w:t>
      </w:r>
    </w:p>
    <w:p w14:paraId="1AEB1B51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повреждений:</w:t>
      </w:r>
    </w:p>
    <w:p w14:paraId="4883BFD4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А – внесуставной разрыв;</w:t>
      </w:r>
    </w:p>
    <w:p w14:paraId="0162F3D9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В – внутрисуставной разрыв.</w:t>
      </w:r>
    </w:p>
    <w:p w14:paraId="429364EE" w14:textId="77777777" w:rsidR="00582635" w:rsidRPr="00582635" w:rsidRDefault="00582635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878A15" w14:textId="67E7CC3E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критерии</w:t>
      </w:r>
    </w:p>
    <w:p w14:paraId="57C9178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Жалобы: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боли в области плечевого сустава при внутренней ротации и отведении плеча, ночные боли.</w:t>
      </w:r>
    </w:p>
    <w:p w14:paraId="58977B77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Анамнез: 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наличие травмы с непрямым механизмом (форсированное движение в плечевом суставе, превышающем его нормальные амплитуды). Реже от прямого удара в область плечевого сустава.</w:t>
      </w:r>
    </w:p>
    <w:p w14:paraId="466868A2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Физикальное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обследование</w:t>
      </w:r>
    </w:p>
    <w:p w14:paraId="2E82F7FA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осмотре отмечается:</w:t>
      </w:r>
    </w:p>
    <w:p w14:paraId="71700596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ограничения пассивных движений в плечевом суставе;</w:t>
      </w:r>
    </w:p>
    <w:p w14:paraId="71934E8A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атрофия надостной 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</w:p>
    <w:p w14:paraId="3B38F87F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пальпации отмечается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A1FD6D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боль в области большого бугорка плечевой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;</w:t>
      </w:r>
      <w:proofErr w:type="gramEnd"/>
    </w:p>
    <w:p w14:paraId="4883F78B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положительный тест «падающей руки» и «болезненной дуги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09BC6B23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болезненность над большим бугорком и крепитация при пассивной ротации руки;</w:t>
      </w:r>
    </w:p>
    <w:p w14:paraId="1C66D6D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отсутствие патологических изменений в анализах крови и мочи.</w:t>
      </w:r>
    </w:p>
    <w:p w14:paraId="304BACC6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2FFF25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Рентгенография плечевого сустава в 2-х проекциях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отмечаются участки склероза или лизиса большого бугорка.</w:t>
      </w:r>
    </w:p>
    <w:p w14:paraId="665C18C3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Магнитно-резонансная томография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определяются признаки повреждения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капсульно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-связочного аппарата и сухожилий.</w:t>
      </w:r>
    </w:p>
    <w:p w14:paraId="762EE76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Ультразвуковое исследование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определяются структурные изменения сухожилия надостной мышцы.</w:t>
      </w:r>
    </w:p>
    <w:p w14:paraId="006F355B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консультации специалистов:</w:t>
      </w:r>
    </w:p>
    <w:p w14:paraId="455E91B1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нейрохирурга при повреждении плечевого сплетения и сочетанной травме головного мозга;</w:t>
      </w:r>
    </w:p>
    <w:p w14:paraId="5807FE87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хирурга при сочетанной травме живота;</w:t>
      </w:r>
    </w:p>
    <w:p w14:paraId="45BC746F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ангиохирурга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сопутствующем повреждении сосудов;</w:t>
      </w:r>
    </w:p>
    <w:p w14:paraId="69CB95AC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терапевта при наличии сопутствующих соматических заболеваний;</w:t>
      </w:r>
    </w:p>
    <w:p w14:paraId="4239CF09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эндокринолога при наличии сопутствующих эндокринных заболеваний.</w:t>
      </w:r>
    </w:p>
    <w:p w14:paraId="6F605604" w14:textId="77777777" w:rsidR="00582635" w:rsidRPr="00582635" w:rsidRDefault="00582635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347868" w14:textId="232C23A6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14:paraId="0AFBED40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Немедикаментозное лечение:</w:t>
      </w:r>
    </w:p>
    <w:p w14:paraId="7DC95DF4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свободный.</w:t>
      </w:r>
    </w:p>
    <w:p w14:paraId="31265234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– стол 15, другие виды диет назначаются в зависимости от сопутствующей патологии.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623E7E" w14:textId="36A931E1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Антибактериальная терапия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воспалении послеоперационной раны и для профилактики послеоперационных воспалительных процессов применяются антибактериальные препараты. С этой целью применяются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гентамицин при аллергии на b-лактамы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выявлении/высоком риске наличия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-резистентного золотистого стафилококка. Согласно рекомендациям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Scottish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Intercollegiate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антибиотикопрофилактика при данном виде операций настоятельно рекомендована. Изменение перечня антибиотиков для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должно проводиться с учетом микробиологического мониторинга в стационаре.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043208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Ненаркотические и наркотические анальгетики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парацетамол).</w:t>
      </w:r>
    </w:p>
    <w:p w14:paraId="7500109B" w14:textId="48F3F5CA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в целях обезболивания назначается перорально.</w:t>
      </w:r>
    </w:p>
    <w:p w14:paraId="1E89F0E3" w14:textId="3CA4D3B3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НПВС в целях послеоперационного обезболивания следует начинать за 30-60 мин до предполагаемого окончания операции внутривенно. Не показано внутримышечное введение НПВС для послеоперационного обезболивания из-за изменчивости концентраций препаратов в сыворотке крови и боли, вызванной инъекцией, исключением является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внутримышечное введение).</w:t>
      </w:r>
    </w:p>
    <w:p w14:paraId="2CEB0191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противопоказаны пациентам с язвенными поражениями и кровотечениями из желудочно-кишечного тракта в анамнезе. В данной ситуации препаратом выбора будет парацетамол, не оказывающий влияния на слизистую желудочно-кишечного тракта.</w:t>
      </w:r>
    </w:p>
    <w:p w14:paraId="4EA7EDFE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комбинировать НПВС между собой.</w:t>
      </w:r>
    </w:p>
    <w:p w14:paraId="1B620CB5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Комбинация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парацетамола является эффективной </w:t>
      </w:r>
    </w:p>
    <w:p w14:paraId="423CEA22" w14:textId="77777777" w:rsidR="00582635" w:rsidRPr="00582635" w:rsidRDefault="00582635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759DA3" w14:textId="6E18A348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амбулаторном уровне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2D5B9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гипсовой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недели.</w:t>
      </w:r>
    </w:p>
    <w:p w14:paraId="6A1FA6EA" w14:textId="0E730878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пролежня;</w:t>
      </w:r>
    </w:p>
    <w:p w14:paraId="5B5350E6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265364F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стационарном уровне:</w:t>
      </w:r>
    </w:p>
    <w:p w14:paraId="68562B2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гипсовые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недель.</w:t>
      </w:r>
    </w:p>
    <w:p w14:paraId="4CC270E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 [8];</w:t>
      </w:r>
    </w:p>
    <w:p w14:paraId="5A73144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0BDED6DF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этапе скорой неотложной помощи:</w:t>
      </w:r>
    </w:p>
    <w:p w14:paraId="7EE5D70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76A286" w14:textId="35EEE043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(</w:t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артроскопическое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вмешательство:</w:t>
      </w:r>
    </w:p>
    <w:p w14:paraId="281E2FE0" w14:textId="77777777" w:rsidR="00582635" w:rsidRPr="00582635" w:rsidRDefault="00582635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C21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Способы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артроскопического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вращательной манжеты:</w:t>
      </w:r>
    </w:p>
    <w:p w14:paraId="0B33331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Фиксация анкерным швом</w:t>
      </w:r>
    </w:p>
    <w:p w14:paraId="463C9BB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Шов «все внутри»</w:t>
      </w:r>
    </w:p>
    <w:p w14:paraId="1E2E1CC3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14:paraId="6A122C8B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травматизма</w:t>
      </w:r>
    </w:p>
    <w:p w14:paraId="5643CA2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техники безопасности в быту и на производстве;</w:t>
      </w:r>
    </w:p>
    <w:p w14:paraId="01B01FF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дорожного движения;</w:t>
      </w:r>
    </w:p>
    <w:p w14:paraId="5CC693E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мер по профилактике уличного травматизма (ныряние на мелководье, прыжки с высоты, переход с балкона на балкон и прочие);</w:t>
      </w:r>
    </w:p>
    <w:p w14:paraId="4925E575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безопасной среды на улице, в быту и на производстве (гололедица, установление дорожных знаков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14:paraId="4DE09BBC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информационно-разъяснительной работы среди населения о мерах профилактики травматизма.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C35A2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</w:t>
      </w:r>
    </w:p>
    <w:p w14:paraId="2D6688B9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ранней медицинской реабилитации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7F30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локальная криотерапия (курс лечения составляет 5-10 процедур);</w:t>
      </w:r>
    </w:p>
    <w:p w14:paraId="4D533AD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ультрафиолетовое облучение (курс лечения составляет 5-10 процедур);</w:t>
      </w:r>
    </w:p>
    <w:p w14:paraId="0D064300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магнитотерапия (курс лечения составляет 5-10 процедур);</w:t>
      </w:r>
    </w:p>
    <w:p w14:paraId="4444FD23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УВЧ-терапия (курс лечения составляет 5-10 процедур);</w:t>
      </w:r>
    </w:p>
    <w:p w14:paraId="25B0130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лазеротерапия (курс лечения составляет 5-10 процедур);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D6381F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предупреждения атрофии мышц и улучшения регионарной гемодинамики поврежденной конечности, применяют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33FBE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изометрическое напряжение мышц плеча и предплечья, интенсивность напряжений увеличивают постепенно, длительность 5-7 секунд, количество повторений 8-10 за одно занятие;</w:t>
      </w:r>
    </w:p>
    <w:p w14:paraId="045332C6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активные многократные сгибания и разгибания пальцев рук, а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тренирующие периферическое кровообращение (опускание с последующим приданием возвышенного положения поврежденной конечности);</w:t>
      </w:r>
    </w:p>
    <w:p w14:paraId="06CF7A59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идеомоторным упражнениям уделяют особое внимание, как методу сохранения двигательного динамического стереотипа, которые служат профилактике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тугоподвижности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суставах. Особенно эффективными являются воображаемые движения,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это движение реально</w:t>
      </w:r>
    </w:p>
    <w:p w14:paraId="60956672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воспроизводится симметричной здоровой конечностью. За одно занятие выполняют 12-14 идеомоторных движений.</w:t>
      </w:r>
    </w:p>
    <w:p w14:paraId="5E881381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иммобилизации сроком 3-4 недель.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6131E1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лечения:</w:t>
      </w:r>
    </w:p>
    <w:p w14:paraId="1CC33B70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устранение боли;</w:t>
      </w:r>
    </w:p>
    <w:p w14:paraId="08CC021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восстановление двигательной функции плечевого сустава.</w:t>
      </w:r>
    </w:p>
    <w:p w14:paraId="1579145C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85 баллов;</w:t>
      </w:r>
    </w:p>
    <w:p w14:paraId="610EC56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MRC-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3 баллов;</w:t>
      </w:r>
    </w:p>
    <w:p w14:paraId="0EB7817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баллов;</w:t>
      </w:r>
    </w:p>
    <w:p w14:paraId="30EEA0E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Гониометрия – менее 80% от нормы.</w:t>
      </w:r>
    </w:p>
    <w:p w14:paraId="35B5F29F" w14:textId="77777777" w:rsidR="00582635" w:rsidRPr="00582635" w:rsidRDefault="00582635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0D8C7" w14:textId="291F6D6F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госпитализации</w:t>
      </w:r>
    </w:p>
    <w:p w14:paraId="7C490D47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экстренной госпитализации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нет.</w:t>
      </w:r>
    </w:p>
    <w:p w14:paraId="198F4578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плановой госпитализации:</w:t>
      </w:r>
    </w:p>
    <w:p w14:paraId="2868DCFE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Полный и частичный разрыв ротаторной манжеты плеча;</w:t>
      </w:r>
    </w:p>
    <w:p w14:paraId="59F2D24A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Псевдопаралич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«падающей руки» и «болезненной дуги»;</w:t>
      </w:r>
    </w:p>
    <w:p w14:paraId="537A4ECD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Посттравматическая дистрофия руки.</w:t>
      </w:r>
    </w:p>
    <w:p w14:paraId="332C2076" w14:textId="77777777" w:rsidR="00582635" w:rsidRDefault="009959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B0129D7" w14:textId="77777777" w:rsidR="00582635" w:rsidRPr="00582635" w:rsidRDefault="0058263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BFF4972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Травматология и ортопедия. Корнилов Н.В. – СПб.: Гиппократ, 2001. – 408 с. </w:t>
      </w:r>
    </w:p>
    <w:p w14:paraId="4C02A4CC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Травматология и ортопедия: Руководство для врачей / под ред. Н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томах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Гиппократ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2004.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1: </w:t>
      </w:r>
    </w:p>
    <w:p w14:paraId="583BD829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Дэвид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Феличано</w:t>
      </w:r>
      <w:proofErr w:type="spellEnd"/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Кеннэт</w:t>
      </w:r>
      <w:proofErr w:type="spellEnd"/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Маттокс</w:t>
      </w:r>
      <w:proofErr w:type="spellEnd"/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Эрнест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Мур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proofErr w:type="spellEnd"/>
      <w:r w:rsidRPr="00B53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Л.А.Якимова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Н.Л.Матвеева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Издательство Панфилова; БИНОМ. Лаборатория знаний, 2011. </w:t>
      </w:r>
    </w:p>
    <w:p w14:paraId="245FB0B2" w14:textId="6B69E324" w:rsidR="00FF4F8F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Штробель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Руководство по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артроскопической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хирургии: в 2 томах /Пер с англ. Под ред.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А.В.Королева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М.:Издательство</w:t>
      </w:r>
      <w:proofErr w:type="spellEnd"/>
      <w:proofErr w:type="gram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Панфилова; БИНОМ. Лаборатория знаний, 2011.</w:t>
      </w:r>
    </w:p>
    <w:sectPr w:rsidR="00FF4F8F" w:rsidRPr="005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236A9"/>
    <w:multiLevelType w:val="hybridMultilevel"/>
    <w:tmpl w:val="1F682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3"/>
    <w:rsid w:val="001531FF"/>
    <w:rsid w:val="002B6DB0"/>
    <w:rsid w:val="002C2DD3"/>
    <w:rsid w:val="00582635"/>
    <w:rsid w:val="008C5CAC"/>
    <w:rsid w:val="00995964"/>
    <w:rsid w:val="009F502B"/>
    <w:rsid w:val="00B53157"/>
    <w:rsid w:val="00F5421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EA6"/>
  <w15:chartTrackingRefBased/>
  <w15:docId w15:val="{E0BDE6DA-182C-4B27-A5F3-E47D227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1FF"/>
    <w:rPr>
      <w:b/>
      <w:bCs/>
    </w:rPr>
  </w:style>
  <w:style w:type="character" w:styleId="a4">
    <w:name w:val="Hyperlink"/>
    <w:basedOn w:val="a0"/>
    <w:uiPriority w:val="99"/>
    <w:semiHidden/>
    <w:unhideWhenUsed/>
    <w:rsid w:val="00582635"/>
    <w:rPr>
      <w:color w:val="0000FF"/>
      <w:u w:val="single"/>
    </w:rPr>
  </w:style>
  <w:style w:type="paragraph" w:styleId="a5">
    <w:name w:val="No Spacing"/>
    <w:uiPriority w:val="1"/>
    <w:qFormat/>
    <w:rsid w:val="005826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2635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5826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11</cp:revision>
  <dcterms:created xsi:type="dcterms:W3CDTF">2019-09-27T07:35:00Z</dcterms:created>
  <dcterms:modified xsi:type="dcterms:W3CDTF">2019-10-09T01:50:00Z</dcterms:modified>
</cp:coreProperties>
</file>