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A2E" w:rsidRPr="00765E8C" w:rsidRDefault="00A65A2E" w:rsidP="00A65A2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E8C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В.Ф.Войно-Ясенецкого» </w:t>
      </w:r>
    </w:p>
    <w:p w:rsidR="00A65A2E" w:rsidRPr="00765E8C" w:rsidRDefault="00A65A2E" w:rsidP="00A65A2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E8C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A65A2E" w:rsidRPr="00765E8C" w:rsidRDefault="00A65A2E" w:rsidP="00A65A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A2E" w:rsidRPr="00765E8C" w:rsidRDefault="00A65A2E" w:rsidP="00A65A2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E8C">
        <w:rPr>
          <w:rFonts w:ascii="Times New Roman" w:hAnsi="Times New Roman" w:cs="Times New Roman"/>
          <w:sz w:val="28"/>
          <w:szCs w:val="28"/>
        </w:rPr>
        <w:t>Кафедра кардиологии, функциональной и клинико-лабораторной диагностики ИПО</w:t>
      </w:r>
    </w:p>
    <w:p w:rsidR="00A65A2E" w:rsidRPr="00765E8C" w:rsidRDefault="00A65A2E" w:rsidP="00A65A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A2E" w:rsidRPr="00765E8C" w:rsidRDefault="00A65A2E" w:rsidP="00A65A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A2E" w:rsidRPr="00765E8C" w:rsidRDefault="00A65A2E" w:rsidP="00A65A2E">
      <w:pPr>
        <w:jc w:val="right"/>
        <w:rPr>
          <w:rFonts w:ascii="Times New Roman" w:hAnsi="Times New Roman" w:cs="Times New Roman"/>
          <w:sz w:val="28"/>
          <w:szCs w:val="28"/>
        </w:rPr>
      </w:pPr>
      <w:r w:rsidRPr="00765E8C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</w:p>
    <w:p w:rsidR="00A65A2E" w:rsidRPr="00765E8C" w:rsidRDefault="00A65A2E" w:rsidP="00A65A2E">
      <w:pPr>
        <w:jc w:val="right"/>
        <w:rPr>
          <w:rFonts w:ascii="Times New Roman" w:hAnsi="Times New Roman" w:cs="Times New Roman"/>
          <w:sz w:val="28"/>
          <w:szCs w:val="28"/>
        </w:rPr>
      </w:pPr>
      <w:r w:rsidRPr="00765E8C">
        <w:rPr>
          <w:rFonts w:ascii="Times New Roman" w:hAnsi="Times New Roman" w:cs="Times New Roman"/>
          <w:sz w:val="28"/>
          <w:szCs w:val="28"/>
        </w:rPr>
        <w:t>Д.м.н., профессор Матюшин Геннадий Васильевич.</w:t>
      </w:r>
    </w:p>
    <w:p w:rsidR="00A65A2E" w:rsidRPr="00765E8C" w:rsidRDefault="00A65A2E" w:rsidP="00A65A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5A2E" w:rsidRPr="00765E8C" w:rsidRDefault="00A65A2E" w:rsidP="00A65A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5A2E" w:rsidRPr="00765E8C" w:rsidRDefault="00A65A2E" w:rsidP="00A65A2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E8C">
        <w:rPr>
          <w:rFonts w:ascii="Times New Roman" w:hAnsi="Times New Roman" w:cs="Times New Roman"/>
          <w:sz w:val="28"/>
          <w:szCs w:val="28"/>
        </w:rPr>
        <w:t>Реферат на тему:</w:t>
      </w:r>
    </w:p>
    <w:p w:rsidR="00A65A2E" w:rsidRPr="00C8286F" w:rsidRDefault="00A65A2E" w:rsidP="00A65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86F">
        <w:rPr>
          <w:rFonts w:ascii="Times New Roman" w:hAnsi="Times New Roman" w:cs="Times New Roman"/>
          <w:b/>
          <w:sz w:val="28"/>
          <w:szCs w:val="28"/>
        </w:rPr>
        <w:t>Кардиомиопатия Takotsubo</w:t>
      </w:r>
    </w:p>
    <w:p w:rsidR="00A65A2E" w:rsidRPr="00765E8C" w:rsidRDefault="00A65A2E" w:rsidP="00A65A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A2E" w:rsidRPr="00765E8C" w:rsidRDefault="00A65A2E" w:rsidP="00A65A2E">
      <w:pPr>
        <w:jc w:val="right"/>
        <w:rPr>
          <w:rFonts w:ascii="Times New Roman" w:hAnsi="Times New Roman" w:cs="Times New Roman"/>
          <w:sz w:val="28"/>
          <w:szCs w:val="28"/>
        </w:rPr>
      </w:pPr>
      <w:r w:rsidRPr="00765E8C">
        <w:rPr>
          <w:rFonts w:ascii="Times New Roman" w:hAnsi="Times New Roman" w:cs="Times New Roman"/>
          <w:sz w:val="28"/>
          <w:szCs w:val="28"/>
        </w:rPr>
        <w:t>Выполнила:</w:t>
      </w:r>
    </w:p>
    <w:p w:rsidR="00A65A2E" w:rsidRPr="00765E8C" w:rsidRDefault="00A65A2E" w:rsidP="00A65A2E">
      <w:pPr>
        <w:jc w:val="right"/>
        <w:rPr>
          <w:rFonts w:ascii="Times New Roman" w:hAnsi="Times New Roman" w:cs="Times New Roman"/>
          <w:sz w:val="28"/>
          <w:szCs w:val="28"/>
        </w:rPr>
      </w:pPr>
      <w:r w:rsidRPr="00765E8C">
        <w:rPr>
          <w:rFonts w:ascii="Times New Roman" w:hAnsi="Times New Roman" w:cs="Times New Roman"/>
          <w:sz w:val="28"/>
          <w:szCs w:val="28"/>
        </w:rPr>
        <w:t>Ординатор 1 года</w:t>
      </w:r>
    </w:p>
    <w:p w:rsidR="00A65A2E" w:rsidRPr="00765E8C" w:rsidRDefault="00A65A2E" w:rsidP="00A65A2E">
      <w:pPr>
        <w:jc w:val="right"/>
        <w:rPr>
          <w:rFonts w:ascii="Times New Roman" w:hAnsi="Times New Roman" w:cs="Times New Roman"/>
          <w:sz w:val="28"/>
          <w:szCs w:val="28"/>
        </w:rPr>
      </w:pPr>
      <w:r w:rsidRPr="00765E8C">
        <w:rPr>
          <w:rFonts w:ascii="Times New Roman" w:hAnsi="Times New Roman" w:cs="Times New Roman"/>
          <w:sz w:val="28"/>
          <w:szCs w:val="28"/>
        </w:rPr>
        <w:t>Асташкевич Мария Анатольевна</w:t>
      </w:r>
    </w:p>
    <w:p w:rsidR="00A65A2E" w:rsidRPr="00765E8C" w:rsidRDefault="00A65A2E" w:rsidP="00A65A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5A2E" w:rsidRPr="00765E8C" w:rsidRDefault="00A65A2E" w:rsidP="00A65A2E">
      <w:pPr>
        <w:jc w:val="right"/>
        <w:rPr>
          <w:rFonts w:ascii="Times New Roman" w:hAnsi="Times New Roman" w:cs="Times New Roman"/>
          <w:sz w:val="28"/>
          <w:szCs w:val="28"/>
        </w:rPr>
      </w:pPr>
      <w:r w:rsidRPr="00765E8C">
        <w:rPr>
          <w:rFonts w:ascii="Times New Roman" w:hAnsi="Times New Roman" w:cs="Times New Roman"/>
          <w:sz w:val="28"/>
          <w:szCs w:val="28"/>
        </w:rPr>
        <w:t>Проверила:</w:t>
      </w:r>
    </w:p>
    <w:p w:rsidR="00A65A2E" w:rsidRPr="00765E8C" w:rsidRDefault="00A65A2E" w:rsidP="00A65A2E">
      <w:pPr>
        <w:jc w:val="right"/>
        <w:rPr>
          <w:rFonts w:ascii="Times New Roman" w:hAnsi="Times New Roman" w:cs="Times New Roman"/>
          <w:sz w:val="28"/>
          <w:szCs w:val="28"/>
        </w:rPr>
      </w:pPr>
      <w:r w:rsidRPr="00765E8C">
        <w:rPr>
          <w:rFonts w:ascii="Times New Roman" w:hAnsi="Times New Roman" w:cs="Times New Roman"/>
          <w:sz w:val="28"/>
          <w:szCs w:val="28"/>
        </w:rPr>
        <w:t>К.м.н., доцент Савченко Елена Александровна</w:t>
      </w:r>
    </w:p>
    <w:p w:rsidR="00A65A2E" w:rsidRPr="00765E8C" w:rsidRDefault="00A65A2E" w:rsidP="00A65A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5A2E" w:rsidRPr="00765E8C" w:rsidRDefault="00A65A2E" w:rsidP="00A65A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5A2E" w:rsidRPr="00765E8C" w:rsidRDefault="00A65A2E" w:rsidP="00A65A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5A2E" w:rsidRPr="00765E8C" w:rsidRDefault="00A65A2E" w:rsidP="00A65A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5A2E" w:rsidRPr="00765E8C" w:rsidRDefault="00A65A2E" w:rsidP="00A65A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5A2E" w:rsidRPr="00765E8C" w:rsidRDefault="00A65A2E" w:rsidP="00A65A2E">
      <w:pPr>
        <w:rPr>
          <w:rFonts w:ascii="Times New Roman" w:hAnsi="Times New Roman" w:cs="Times New Roman"/>
          <w:sz w:val="28"/>
          <w:szCs w:val="28"/>
        </w:rPr>
      </w:pPr>
    </w:p>
    <w:p w:rsidR="00A65A2E" w:rsidRPr="00765E8C" w:rsidRDefault="00A65A2E" w:rsidP="00A65A2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E8C">
        <w:rPr>
          <w:rFonts w:ascii="Times New Roman" w:hAnsi="Times New Roman" w:cs="Times New Roman"/>
          <w:sz w:val="28"/>
          <w:szCs w:val="28"/>
        </w:rPr>
        <w:t>Красноярск 2020</w:t>
      </w:r>
    </w:p>
    <w:p w:rsidR="007D5C85" w:rsidRDefault="007D5C85" w:rsidP="00A65A2E">
      <w:pPr>
        <w:pStyle w:val="a3"/>
        <w:jc w:val="center"/>
        <w:rPr>
          <w:color w:val="000000" w:themeColor="text1"/>
        </w:rPr>
      </w:pPr>
    </w:p>
    <w:p w:rsidR="007D5C85" w:rsidRPr="007D5C85" w:rsidRDefault="007D5C85" w:rsidP="007D5C85">
      <w:pPr>
        <w:spacing w:before="120" w:after="216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</w:p>
    <w:p w:rsidR="007D5C85" w:rsidRPr="007D5C85" w:rsidRDefault="007D5C85" w:rsidP="007D5C85">
      <w:pPr>
        <w:spacing w:before="120" w:after="216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Стресс-индуцированная кардиомиопатия, также называемая синдром преходящей дисфункции левого желудочка или Takotsubo-кардиомиопатия, становится все более известной, обычно характеризуется транзиторной систолической дисфункцией и обширной акинезией апикальных и / или средних сегментов левого желудочка, жалобами имитирующие острый коронарный синдром, но при отсутствии обст</w:t>
      </w:r>
      <w:r w:rsidR="00D4131C">
        <w:rPr>
          <w:rFonts w:ascii="Times New Roman" w:hAnsi="Times New Roman" w:cs="Times New Roman"/>
          <w:color w:val="000000" w:themeColor="text1"/>
          <w:sz w:val="28"/>
          <w:szCs w:val="28"/>
        </w:rPr>
        <w:t>рукции коронарных артерии</w:t>
      </w: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, сопровождаются изменениями на ЭКГ, а также ограниченным выбросом сердечных маркеров, не соответствующих этой степени акинезией.</w:t>
      </w:r>
    </w:p>
    <w:p w:rsidR="007D5C85" w:rsidRPr="007D5C85" w:rsidRDefault="007D5C85" w:rsidP="007D5C85">
      <w:pPr>
        <w:spacing w:before="120" w:after="216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Около 20 лет назад этот синдром описывался только у японских пациентов. Однако во всем мире на данный момент по статистике 2% из 300000 сердечных приступов приходится на это заболевание. Это говорит о большей информированности врачей, улучшении диагностики и установления четких критериев для постановки диагноза. Следует ожидать увеличения частоты своевременной диагностики такоцубо-кардиомиопатии при условии доступности неотложной коронароангиографии в большинстве кардиологических центров в первые 24 часа, как того и требуют современные рекомендации по оказанию неотложной помощи больным с</w:t>
      </w:r>
      <w:r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острым коронарным синдромом </w:t>
      </w: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5C85" w:rsidRPr="007D5C85" w:rsidRDefault="007D5C85" w:rsidP="007D5C85">
      <w:pPr>
        <w:spacing w:before="120" w:after="216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Термин «такоцубо» (tako-tsubo) в переводе с японского языка означает приспособление для ловли осьминогов – керамический горшок с круглым основанием и узким горлышком. Именно такую форму у больных при эхокардиографии приобретает левый желудочек (ЛЖ) в систолу, что объясняется отсутствием сокращения его верхушки с одновременным избыточным с</w:t>
      </w:r>
      <w:r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t>окращением базальных отделов</w:t>
      </w: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5C85" w:rsidRPr="007D5C85" w:rsidRDefault="007D5C85" w:rsidP="007D5C85">
      <w:pPr>
        <w:spacing w:before="120" w:after="216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t>Патогенез</w:t>
      </w:r>
    </w:p>
    <w:p w:rsidR="007D5C85" w:rsidRPr="007D5C85" w:rsidRDefault="007D5C85" w:rsidP="007D5C85">
      <w:pPr>
        <w:spacing w:before="120" w:after="216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Патогенетические механизмы включают в себя избыток катехоламинов спазм коронарных артерии, и м</w:t>
      </w:r>
      <w:r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t>икрососудистую дисфункцию</w:t>
      </w: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5C85" w:rsidRPr="007D5C85" w:rsidRDefault="007D5C85" w:rsidP="007D5C85">
      <w:pPr>
        <w:spacing w:before="120" w:after="216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Потенциальная роль  разрыва холестериновой бляшки и тромбоза со спонтанным тромболизисом не были установлены. Однако результаты внутрисосудистого ультразвукового исследования (ВСУЗИ)  показали доказательство разрыва бляшки в середине левой передней нисходящей коронарной артерии в 5 из 5 пациентов с диагнозом стресс-и</w:t>
      </w:r>
      <w:r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t>ндуцированной кардиомиопатии</w:t>
      </w: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, но другая серия ВСУЗИ не нашла никаких доказательств о</w:t>
      </w:r>
      <w:r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t>тносительно этой гипотезы</w:t>
      </w: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5C85" w:rsidRPr="007D5C85" w:rsidRDefault="007D5C85" w:rsidP="007D5C85">
      <w:pPr>
        <w:spacing w:before="120" w:after="216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Связь развития стрессовой кардиомиопатии с физическим или эмоциональным стрессом, показывают, что это расстройство может быть вызвано диффузным действием катехоламинов вызванным микрососудистым спазмом или дисфункцией, путем прямого токсичес</w:t>
      </w:r>
      <w:r w:rsidR="00D4131C"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t>кого действия катехоламинов</w:t>
      </w: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некоторых пациентов с индуцированной стрессом </w:t>
      </w: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кардиомиопатией, единственным очевидным стрессом является воздействие препаратов катехоламинов или бета-агонистов </w:t>
      </w:r>
      <w:r w:rsidR="00D4131C"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t>в обычных клинических дозах</w:t>
      </w: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5C85" w:rsidRPr="007D5C85" w:rsidRDefault="007D5C85" w:rsidP="007D5C85">
      <w:pPr>
        <w:spacing w:before="120" w:after="216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патогенной роли катехоламинов выявлена в ряде исследований определения </w:t>
      </w:r>
      <w:r w:rsidR="00D4131C"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t>в плазме катехоламинов</w:t>
      </w: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. Объединяя результаты из этих серий, плазменные уровни норадреналина были повышены в 74 % и составили следующие концентрации: эпинефрин-1264 пг/мл против нормальной концентрации 376 пг / мл; норэпинефрин-228</w:t>
      </w:r>
      <w:r w:rsidR="00D4131C"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t>4 пг/мл против 1100 пг / мл</w:t>
      </w: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Повышение уровня катехоламинов и обратимые изменения левого желудочка наблюдались также в крысиной модели, вызванной </w:t>
      </w:r>
      <w:r w:rsidR="00D4131C"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t>стрессом</w:t>
      </w: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. Однако, высокий уровень  катехоламинов в крови не является повсеместно встречаемым у обследуемых пациентов и некоторые исследования</w:t>
      </w:r>
      <w:r w:rsidR="00D4131C"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показали нормальный уровень</w:t>
      </w: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5C85" w:rsidRPr="007D5C85" w:rsidRDefault="007D5C85" w:rsidP="007D5C85">
      <w:pPr>
        <w:spacing w:before="120" w:after="216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Дальнейшая поддержка гипотезы действия катехоламинов обеспечивается наблюдениями подобной обратимой кардиомиопатии с глобальной или очаговой дисфункцией у </w:t>
      </w:r>
      <w:r w:rsidR="00D4131C"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пациентов с феохромоцитомой </w:t>
      </w: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условиях острого повреждения головного мозга, которые также постулируются связанным</w:t>
      </w:r>
      <w:r w:rsidR="00D4131C"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 действием катехоламинов </w:t>
      </w: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. По данным эндомиокардиальной биопсии в серии из восьми пациентов в пери</w:t>
      </w:r>
      <w:r w:rsidR="00D4131C"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дисфункции левого желудочка </w:t>
      </w: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обнаружены гистологические признаки кате</w:t>
      </w:r>
      <w:r w:rsidR="00D4131C"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холаминовой токсичности </w:t>
      </w: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отсу</w:t>
      </w:r>
      <w:r w:rsidR="00D4131C"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t>тствие признаков миокардита</w:t>
      </w: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, обнаружени</w:t>
      </w:r>
      <w:r w:rsidR="00D4131C"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интерстициального фиброза </w:t>
      </w: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, внутриклеточное накопление гликогена, множество вакуолей, дезорганизованность цитоскелета миокардиоцитов, увеличение белк</w:t>
      </w:r>
      <w:r w:rsidR="00D4131C"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t>а внеклеточного матрикса</w:t>
      </w: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. Эти изменения нивелировались почти полностью после функционального восстановления. Предположительно, что наибольший эффект в апикальной части миокарда может быть связан с более высокой плотностью бета-ад</w:t>
      </w:r>
      <w:r w:rsidR="00D4131C"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t>ренорецепторов в этом месте</w:t>
      </w: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5C85" w:rsidRPr="007D5C85" w:rsidRDefault="007D5C85" w:rsidP="00D4131C">
      <w:pPr>
        <w:spacing w:before="120" w:after="216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t>Эпидемиология</w:t>
      </w:r>
    </w:p>
    <w:p w:rsidR="007D5C85" w:rsidRPr="007D5C85" w:rsidRDefault="007D5C85" w:rsidP="007D5C85">
      <w:pPr>
        <w:spacing w:before="120" w:after="216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Стресс-индуцированного кардиомиопатия гораздо чаще встречается у женщин, чем у мужчин. В обзоре десяти проспективных серий, женщины составляли от 80 до 100 % случаев, со средним возрастным</w:t>
      </w:r>
      <w:r w:rsidR="00D4131C"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интервалом от 61 до 76 лет</w:t>
      </w: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. У женщин &gt; 55 лет риск развития заболевания был в 4,8 раза выше, по сравнению с женщинами &lt;55 лет, особенно у женщин в постменопаузальном периоде, выступающим как стрессовый триггерный фактор и меняющий гормона</w:t>
      </w:r>
      <w:r w:rsidR="00D4131C"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t>льный фон</w:t>
      </w: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. Исследователи подозревают, что пожилые женщины более уязвимы из-за снижения уровня эстрогена после менопаузы. Кардиомиопатия диагностируется и у детей. Клинические проявления и данные ЭКГ у подростков были сходные с острым коронарным синдромом. Это объясняется тем, что дифференцировка надпочечников продолжается после рождения ребенка вплоть до 14—16 лет, что и объясняет н</w:t>
      </w:r>
      <w:r w:rsidR="00D4131C"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t>екорректный ответ на стресс</w:t>
      </w: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5C85" w:rsidRPr="007D5C85" w:rsidRDefault="007D5C85" w:rsidP="00D4131C">
      <w:pPr>
        <w:spacing w:before="120" w:after="216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t>Факторы риска</w:t>
      </w:r>
    </w:p>
    <w:p w:rsidR="007D5C85" w:rsidRPr="007D5C85" w:rsidRDefault="007D5C85" w:rsidP="007D5C85">
      <w:pPr>
        <w:spacing w:before="120" w:after="216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факторам риска, которые обычно связаны с развитием стрессовой кардиомиопатии следует отнести курение, злоупотребление алкоголем, тревожные состояния и гиперлипидемия. Провоцирующими факторами могут выступать: физический стресс, внезапное падение артериального давления, тяжелая болезнь, операция или медицинская процедура (например, сердечный стресс-тест), сильная боль, насилие в семье, приступ астмы, получение плохих новостей (например, диагностика рака), несчастный случай, неожиданная потеря или болезнь  близкого родственника, финансовый убыток, сильный с</w:t>
      </w:r>
      <w:r w:rsidR="00D4131C"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t>трах, публичные выступления</w:t>
      </w: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5C85" w:rsidRPr="007D5C85" w:rsidRDefault="007D5C85" w:rsidP="00D4131C">
      <w:pPr>
        <w:spacing w:before="120" w:after="216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t>Клиника</w:t>
      </w:r>
    </w:p>
    <w:p w:rsidR="007D5C85" w:rsidRPr="007D5C85" w:rsidRDefault="007D5C85" w:rsidP="007D5C85">
      <w:pPr>
        <w:spacing w:before="120" w:after="216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распространенным симптомами являются острая загрудинная боль  (58,8% случаев), а затем одышка (30% случаев), обмороки, тахикардия. Острыми осложнениями стресс-индуцированной кардиомиопатии являются остановка сердца, тахиаритмии (включая желудочковую тахикардию и фибрилляцию желудочков), брадиаритмии. Стресс-индуцированный гиперкинез левого желудочка может способствовать развитию шока и серьезной мит</w:t>
      </w:r>
      <w:r w:rsidR="00D4131C"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t>ральной регургитации</w:t>
      </w: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, верхушечное</w:t>
      </w:r>
      <w:r w:rsidR="00D4131C"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тромбообразование и инсульт</w:t>
      </w: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. Вероятность развития острой сердечной недостаточности возможно предсказать на основе наличия или отсутствия следующих трех переменных : возраст &gt; 70 лет, наличие физического стрессора и снижение фракции выброса левого желудоч</w:t>
      </w:r>
      <w:r w:rsidR="00D4131C"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t>ка ( ФВ ЛЖ ) &lt; 40 процентов</w:t>
      </w: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При обследовании 118 больных, вероятность развития острой сердечной недостаточности был &lt; 10 процентов при отсутствии этих факторов риска.</w:t>
      </w:r>
    </w:p>
    <w:p w:rsidR="007D5C85" w:rsidRPr="007D5C85" w:rsidRDefault="007D5C85" w:rsidP="00D4131C">
      <w:pPr>
        <w:spacing w:before="120" w:after="216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</w:t>
      </w:r>
    </w:p>
    <w:p w:rsidR="007D5C85" w:rsidRPr="007D5C85" w:rsidRDefault="007D5C85" w:rsidP="007D5C85">
      <w:pPr>
        <w:spacing w:before="120" w:after="216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Диагностическими критериями кл</w:t>
      </w:r>
      <w:r w:rsidR="00D4131C"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t>иники Мейо являются</w:t>
      </w: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D5C85" w:rsidRPr="007D5C85" w:rsidRDefault="007D5C85" w:rsidP="007D5C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Переходные гипокинезия, акинезия или дискинезия левого желудочка середины сегментов с или без апикального участия.</w:t>
      </w:r>
    </w:p>
    <w:p w:rsidR="007D5C85" w:rsidRPr="007D5C85" w:rsidRDefault="007D5C85" w:rsidP="007D5C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Региональных аномалий движения стенки обычно выходят за рамки одного эпикардиальной коронарного распределения.</w:t>
      </w:r>
    </w:p>
    <w:p w:rsidR="007D5C85" w:rsidRPr="007D5C85" w:rsidRDefault="007D5C85" w:rsidP="007D5C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Наличие стрессовых триггеров часто, но не всегда.</w:t>
      </w:r>
    </w:p>
    <w:p w:rsidR="007D5C85" w:rsidRPr="007D5C85" w:rsidRDefault="007D5C85" w:rsidP="007D5C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обструкции коронарных артерий или ангиографических признаков острого разрыва бляшки.</w:t>
      </w:r>
    </w:p>
    <w:p w:rsidR="007D5C85" w:rsidRPr="007D5C85" w:rsidRDefault="007D5C85" w:rsidP="007D5C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Электрокардиографические аномалии (либо изменение высоты ST- сегмента и / или инверсия зубца Т).</w:t>
      </w:r>
    </w:p>
    <w:p w:rsidR="007D5C85" w:rsidRPr="007D5C85" w:rsidRDefault="007D5C85" w:rsidP="007D5C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Скромные высоты сердечного тропонина и креатинфостокиназы.</w:t>
      </w:r>
    </w:p>
    <w:p w:rsidR="007D5C85" w:rsidRPr="007D5C85" w:rsidRDefault="007D5C85" w:rsidP="007D5C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феохромоцитомы или миокардита.</w:t>
      </w:r>
    </w:p>
    <w:p w:rsidR="007D5C85" w:rsidRPr="007D5C85" w:rsidRDefault="007D5C85" w:rsidP="007D5C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Фракция выброса левого желудочка (ФВ ЛЖ ) &lt; 40 процентов.</w:t>
      </w:r>
    </w:p>
    <w:p w:rsidR="007D5C85" w:rsidRPr="007D5C85" w:rsidRDefault="007D5C85" w:rsidP="007D5C85">
      <w:pPr>
        <w:spacing w:before="120" w:after="216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Электрокардиографические проявления  имитируют острый коронарный синдром. Характерен инфарктоподобный подъем сегмента ST, наиболее распространенной в передних грудных отведениях ; диффузная  инверсии </w:t>
      </w: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зубца Т с продлением интервала QT , аномальные волны Q , неспецифические нарушения. Восстановление ЭКГ происходит на 2-3 неделе болезни.</w:t>
      </w:r>
    </w:p>
    <w:p w:rsidR="007D5C85" w:rsidRPr="007D5C85" w:rsidRDefault="007D5C85" w:rsidP="007D5C85">
      <w:pPr>
        <w:spacing w:before="120" w:after="216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специфичные изменения при ЭХО-кг и контрастной вентрикулографии.  Характерен акинез или дискинез верхушки и средней части ЛЖ с гиперконтрактильностью основания и обструкцией выходного тракта ЛЖ. При этом форма ЛЖ напоминает приспособление для ловли осьминогов. Общая систолическая функция снижается, а средняя ФВ ЛЖ  варьируется в диапазоне </w:t>
      </w:r>
      <w:r w:rsidR="0067082F">
        <w:rPr>
          <w:rFonts w:ascii="Times New Roman" w:hAnsi="Times New Roman" w:cs="Times New Roman"/>
          <w:color w:val="000000" w:themeColor="text1"/>
          <w:sz w:val="28"/>
          <w:szCs w:val="28"/>
        </w:rPr>
        <w:t>от 20 до 49 процентов</w:t>
      </w: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5C85" w:rsidRPr="007D5C85" w:rsidRDefault="007D5C85" w:rsidP="007D5C85">
      <w:pPr>
        <w:spacing w:before="120" w:after="216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Ангиография является ценным методом диагностики. Принципиальное отличие кардиомиопатии токацубо от острого коронарного синдрома – отсутствие гемодинамически значимого стеноза коронарных артерий.</w:t>
      </w:r>
    </w:p>
    <w:p w:rsidR="007D5C85" w:rsidRPr="007D5C85" w:rsidRDefault="007D5C85" w:rsidP="007D5C85">
      <w:pPr>
        <w:spacing w:before="120" w:after="216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 МРТ с гадолинием  помогает в дифференциальном диагнозе с такими заболеваниями как инфаркт миокарда и миокардит. Гадолиний не накапливается при стресс-индуцированной кардиомиопатии, в отличие от инфаркта миокарда, в котором интенсивное (т.е. &gt; 5 стандартных отклонений выше средней интенсивности сигнала дистанционного миокарда) субэндокардиально или трансмурально. При миокардите характерно неоднородное накопление  гадолиния. МРТ может также дать определение тромбов в левом или правом желудочке, которые не могут быть обна</w:t>
      </w:r>
      <w:r w:rsidR="0067082F">
        <w:rPr>
          <w:rFonts w:ascii="Times New Roman" w:hAnsi="Times New Roman" w:cs="Times New Roman"/>
          <w:color w:val="000000" w:themeColor="text1"/>
          <w:sz w:val="28"/>
          <w:szCs w:val="28"/>
        </w:rPr>
        <w:t>ружены с помощью ЭХО-кг</w:t>
      </w: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5C85" w:rsidRPr="007D5C85" w:rsidRDefault="007D5C85" w:rsidP="007D5C85">
      <w:pPr>
        <w:spacing w:before="120" w:after="216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сердечных сывороточных маркеров контрастирует с часто тяжелыми нарушениями гемодинамики. Распространенность повышения креатинкиназы-МВ и / или тропонина у пациентов было в 89,3% случаев, в 10,7%  показало нормальный уровень этих сердечных ферментов. Средняя максимальная вариабельность креатинкиназы-MB и рост тропонина были 27,4 мкг/л (норма 5.2-115.7 мкг / л) и 18,7 мкг / л (норма 2.0-97.6 м</w:t>
      </w:r>
      <w:r w:rsidR="00670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кг/л), соответственно </w:t>
      </w: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5C85" w:rsidRPr="007D5C85" w:rsidRDefault="007D5C85" w:rsidP="00D4131C">
      <w:pPr>
        <w:spacing w:before="120" w:after="216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t>Лечение</w:t>
      </w:r>
    </w:p>
    <w:p w:rsidR="007D5C85" w:rsidRPr="007D5C85" w:rsidRDefault="007D5C85" w:rsidP="007D5C85">
      <w:pPr>
        <w:spacing w:before="120" w:after="216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настоящего времени отсутствуют формальные рекомендации по лечению больных с СКМП. Считается, что в острой фазе заболевания показано применение транквилизаторов, если развитию синдрома предшествовал эмоциональный стресс, а также устранение других возможных провоцирующих факторов, например боли. Назначаются ингибиторы АПФ, бетаадреноблокаторы, антикоагулянты, диуретики, антагонисты кальция. Кроме того, в таких случаях целесообразно выполнение внутриаортальной баллонной контрпульсации. При динамической обструкции выходного тракта ЛЖ противопоказано  использование препаратов положительного инотропного действия. Продолжительность  приема антикоагулянтов варьируются в зависимости от скорости восстановления функции сердца. На фоне поддерживающей терапии всегда происходит спонтанное выздоровление в течение 2 месяцев. В 5% случаев возникает рецидив </w:t>
      </w: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заболевания, вероятно, провоцируемый ассоциированным пусковым механизмом.</w:t>
      </w:r>
    </w:p>
    <w:p w:rsidR="007D5C85" w:rsidRPr="007D5C85" w:rsidRDefault="007D5C85" w:rsidP="00D4131C">
      <w:pPr>
        <w:spacing w:before="120" w:after="216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31C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</w:p>
    <w:p w:rsidR="007D5C85" w:rsidRPr="007D5C85" w:rsidRDefault="007D5C85" w:rsidP="007D5C85">
      <w:pPr>
        <w:spacing w:before="120" w:after="216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C85">
        <w:rPr>
          <w:rFonts w:ascii="Times New Roman" w:hAnsi="Times New Roman" w:cs="Times New Roman"/>
          <w:color w:val="000000" w:themeColor="text1"/>
          <w:sz w:val="28"/>
          <w:szCs w:val="28"/>
        </w:rPr>
        <w:t>Takotsubo кардиомиопатия представляет собой новый вариант кардиомиопатии, который стал диагностироваться в последние годы. Основным пусковым фактором заболевания является выраженный физический и эмоциональный стресс, относительно часто встречается у пожилых женщин. Патогенетические механизмы обуславливаются токсическим действием катехоламинов, поэтому сочетании α-и β-адреноблокаторов, добавление эстрогенов в терапию у женщин в постменопаузе может защитить от его развития или смягчить клинические проявления. Этот вид кардиомиопатии следует считать возможной причиной внезапной сердечной смерти в результате аритмии, в том числе у лиц без явных сердечных заболеваний.  Чтобы лучше понять патогенетические механизмы, разработать рациональную систему профилактики и схем лечения, созданы регистры.</w:t>
      </w:r>
    </w:p>
    <w:p w:rsidR="007D5C85" w:rsidRDefault="00D4131C" w:rsidP="00A65A2E">
      <w:pPr>
        <w:pStyle w:val="a3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4131C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Список используемой литературы </w:t>
      </w:r>
    </w:p>
    <w:p w:rsidR="00D4131C" w:rsidRDefault="00D4131C" w:rsidP="00D4131C">
      <w:pPr>
        <w:pStyle w:val="a3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1. </w:t>
      </w:r>
      <w:r w:rsidRPr="00D4131C">
        <w:rPr>
          <w:rFonts w:eastAsiaTheme="minorHAnsi"/>
          <w:color w:val="000000" w:themeColor="text1"/>
          <w:sz w:val="28"/>
          <w:szCs w:val="28"/>
          <w:lang w:eastAsia="en-US"/>
        </w:rPr>
        <w:t>Р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Pr="00D4131C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D4131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Литвиненко, С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Pr="00D4131C">
        <w:rPr>
          <w:rFonts w:eastAsiaTheme="minorHAnsi"/>
          <w:color w:val="000000" w:themeColor="text1"/>
          <w:sz w:val="28"/>
          <w:szCs w:val="28"/>
          <w:lang w:eastAsia="en-US"/>
        </w:rPr>
        <w:t>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D4131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Шуленин,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А. Н. </w:t>
      </w:r>
      <w:r w:rsidRPr="00D4131C">
        <w:rPr>
          <w:rFonts w:eastAsiaTheme="minorHAnsi"/>
          <w:color w:val="000000" w:themeColor="text1"/>
          <w:sz w:val="28"/>
          <w:szCs w:val="28"/>
          <w:lang w:eastAsia="en-US"/>
        </w:rPr>
        <w:t>Кули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ков. О дифференциальной </w:t>
      </w:r>
      <w:r w:rsidRPr="00D4131C">
        <w:rPr>
          <w:rFonts w:eastAsiaTheme="minorHAnsi"/>
          <w:color w:val="000000" w:themeColor="text1"/>
          <w:sz w:val="28"/>
          <w:szCs w:val="28"/>
          <w:lang w:eastAsia="en-US"/>
        </w:rPr>
        <w:t>диагностике транзиторной ишемии миокарда – такоцубо-карди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омиопатии / </w:t>
      </w:r>
      <w:r w:rsidRPr="00D4131C">
        <w:rPr>
          <w:rFonts w:eastAsiaTheme="minorHAnsi"/>
          <w:color w:val="000000" w:themeColor="text1"/>
          <w:sz w:val="28"/>
          <w:szCs w:val="28"/>
          <w:lang w:eastAsia="en-US"/>
        </w:rPr>
        <w:t>Вестник российской военно-медицинской академии 2013; (1): 84-93.</w:t>
      </w:r>
    </w:p>
    <w:p w:rsidR="00D4131C" w:rsidRDefault="00D4131C" w:rsidP="00D4131C">
      <w:pPr>
        <w:pStyle w:val="a3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2.</w:t>
      </w:r>
      <w:r w:rsidRPr="00D4131C">
        <w:t xml:space="preserve"> </w:t>
      </w:r>
      <w:r w:rsidRPr="00D4131C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Pr="00D4131C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D4131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Сенаторова, 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Pr="00D4131C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D4131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Стенковая.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D4131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Кардиомиопатия такоцубо у подростков-новый клинический вариант неклассифицируемых кардиомиопатий.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/ </w:t>
      </w:r>
      <w:r w:rsidRPr="00D4131C">
        <w:rPr>
          <w:rFonts w:eastAsiaTheme="minorHAnsi"/>
          <w:color w:val="000000" w:themeColor="text1"/>
          <w:sz w:val="28"/>
          <w:szCs w:val="28"/>
          <w:lang w:eastAsia="en-US"/>
        </w:rPr>
        <w:t>Таврический медико-биологический вестник 2010; 13(2).</w:t>
      </w:r>
    </w:p>
    <w:p w:rsidR="00D4131C" w:rsidRPr="00D4131C" w:rsidRDefault="00D4131C" w:rsidP="00D4131C">
      <w:pPr>
        <w:pStyle w:val="a3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3.</w:t>
      </w:r>
      <w:r w:rsidRPr="00D4131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Гиляревский С. Р. Кардиомиопатия такоцубо. Подходы к диагностике и лечени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ю /  </w:t>
      </w:r>
      <w:r w:rsidRPr="00D4131C">
        <w:rPr>
          <w:rFonts w:eastAsiaTheme="minorHAnsi"/>
          <w:color w:val="000000" w:themeColor="text1"/>
          <w:sz w:val="28"/>
          <w:szCs w:val="28"/>
          <w:lang w:eastAsia="en-US"/>
        </w:rPr>
        <w:t>М.: МЕД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пресс-информ, 2013. — 184 с</w:t>
      </w:r>
      <w:r w:rsidRPr="00D4131C">
        <w:rPr>
          <w:rFonts w:eastAsiaTheme="minorHAnsi"/>
          <w:color w:val="000000" w:themeColor="text1"/>
          <w:sz w:val="28"/>
          <w:szCs w:val="28"/>
          <w:lang w:eastAsia="en-US"/>
        </w:rPr>
        <w:br/>
      </w:r>
    </w:p>
    <w:p w:rsidR="007D5C85" w:rsidRDefault="007D5C85" w:rsidP="00A65A2E">
      <w:pPr>
        <w:pStyle w:val="a3"/>
        <w:jc w:val="center"/>
        <w:rPr>
          <w:color w:val="000000" w:themeColor="text1"/>
        </w:rPr>
      </w:pPr>
    </w:p>
    <w:p w:rsidR="007D5C85" w:rsidRDefault="007D5C85" w:rsidP="00A65A2E">
      <w:pPr>
        <w:pStyle w:val="a3"/>
        <w:jc w:val="center"/>
        <w:rPr>
          <w:color w:val="000000" w:themeColor="text1"/>
        </w:rPr>
      </w:pPr>
    </w:p>
    <w:p w:rsidR="007D5C85" w:rsidRDefault="007D5C85" w:rsidP="00A65A2E">
      <w:pPr>
        <w:pStyle w:val="a3"/>
        <w:jc w:val="center"/>
        <w:rPr>
          <w:color w:val="000000" w:themeColor="text1"/>
        </w:rPr>
      </w:pPr>
    </w:p>
    <w:p w:rsidR="007D5C85" w:rsidRDefault="007D5C85" w:rsidP="00D4131C">
      <w:pPr>
        <w:pStyle w:val="a3"/>
        <w:rPr>
          <w:color w:val="000000" w:themeColor="text1"/>
        </w:rPr>
      </w:pPr>
    </w:p>
    <w:p w:rsidR="00D4131C" w:rsidRDefault="00D4131C" w:rsidP="00D4131C">
      <w:pPr>
        <w:pStyle w:val="a3"/>
        <w:rPr>
          <w:color w:val="000000" w:themeColor="text1"/>
        </w:rPr>
      </w:pPr>
    </w:p>
    <w:p w:rsidR="00D4131C" w:rsidRDefault="00D4131C" w:rsidP="00D4131C">
      <w:pPr>
        <w:pStyle w:val="a3"/>
        <w:rPr>
          <w:color w:val="000000" w:themeColor="text1"/>
        </w:rPr>
      </w:pPr>
    </w:p>
    <w:p w:rsidR="00D4131C" w:rsidRDefault="00D4131C" w:rsidP="00D4131C">
      <w:pPr>
        <w:pStyle w:val="a3"/>
        <w:rPr>
          <w:color w:val="000000" w:themeColor="text1"/>
        </w:rPr>
      </w:pPr>
    </w:p>
    <w:p w:rsidR="00A65A2E" w:rsidRPr="00A62F80" w:rsidRDefault="00A65A2E" w:rsidP="00A65A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5A2E" w:rsidRDefault="00A65A2E" w:rsidP="00A65A2E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65A2E" w:rsidRDefault="00A65A2E" w:rsidP="00A65A2E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65A2E" w:rsidRDefault="00A65A2E" w:rsidP="00A65A2E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65A2E" w:rsidRDefault="00A65A2E" w:rsidP="00A65A2E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5A2E" w:rsidRDefault="00A65A2E" w:rsidP="00A65A2E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65A2E" w:rsidRPr="00E14486" w:rsidRDefault="00A65A2E" w:rsidP="00A65A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90" w:rsidRDefault="00DF6E90"/>
    <w:sectPr w:rsidR="00DF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62C52"/>
    <w:multiLevelType w:val="multilevel"/>
    <w:tmpl w:val="2348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DC"/>
    <w:rsid w:val="005933DC"/>
    <w:rsid w:val="0067082F"/>
    <w:rsid w:val="007D5C85"/>
    <w:rsid w:val="00A65A2E"/>
    <w:rsid w:val="00C8286F"/>
    <w:rsid w:val="00D02EB5"/>
    <w:rsid w:val="00D4131C"/>
    <w:rsid w:val="00DF6E90"/>
    <w:rsid w:val="00EB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4B929-D8EA-4842-9CC6-AA5D228B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A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65A2E"/>
    <w:pPr>
      <w:spacing w:after="0" w:line="240" w:lineRule="auto"/>
    </w:pPr>
  </w:style>
  <w:style w:type="table" w:styleId="a5">
    <w:name w:val="Table Grid"/>
    <w:basedOn w:val="a1"/>
    <w:uiPriority w:val="59"/>
    <w:rsid w:val="00A6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7D5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7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Стоматология Зубофф</dc:creator>
  <cp:keywords/>
  <dc:description/>
  <cp:lastModifiedBy>Стоматология Зубофф</cp:lastModifiedBy>
  <cp:revision>8</cp:revision>
  <dcterms:created xsi:type="dcterms:W3CDTF">2020-06-18T10:48:00Z</dcterms:created>
  <dcterms:modified xsi:type="dcterms:W3CDTF">2021-01-06T03:24:00Z</dcterms:modified>
</cp:coreProperties>
</file>