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Федерации.</w:t>
      </w:r>
    </w:p>
    <w:p>
      <w:pPr>
        <w:pStyle w:val="Normal"/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Кафедра педиатрии ИПО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Зав. кафедрой: д.м.н., проф. Таранушенко Т.Е.</w:t>
      </w:r>
    </w:p>
    <w:p>
      <w:pPr>
        <w:pStyle w:val="Normal"/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Проверила: к.м.н., доц. Киселева Н.Г.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hanging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  <w:t>Реферат</w:t>
      </w:r>
    </w:p>
    <w:p>
      <w:pPr>
        <w:pStyle w:val="Normal"/>
        <w:shd w:val="clear" w:color="auto" w:fill="FFFFFF"/>
        <w:ind w:right="43" w:hanging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«Гипергликемия у новорожденных»</w:t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Выполнила: врач-ординатор, 1 год</w:t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Кафедры Педиатрии ИПО</w:t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Хребтова Евгения Григорьевна</w:t>
      </w:r>
    </w:p>
    <w:p>
      <w:pPr>
        <w:pStyle w:val="Normal"/>
        <w:shd w:val="clear" w:color="auto" w:fill="FFFFFF"/>
        <w:ind w:right="43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г. Красноярск, 2024 год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tyle26"/>
            <w:suppressAutoHyphens w:val="false"/>
            <w:spacing w:lineRule="auto" w:line="276"/>
            <w:rPr>
              <w:lang w:eastAsia="ru-RU"/>
            </w:rPr>
          </w:pPr>
          <w:r>
            <w:rPr>
              <w:lang w:eastAsia="ru-RU"/>
            </w:rPr>
            <w:t>Оглавление</w:t>
          </w:r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r>
            <w:fldChar w:fldCharType="begin"/>
          </w:r>
          <w:r>
            <w:rPr/>
            <w:instrText xml:space="preserve"> TOC \o "1-3" \h</w:instrText>
          </w:r>
          <w:r>
            <w:rPr/>
            <w:fldChar w:fldCharType="separate"/>
          </w:r>
          <w:hyperlink w:anchor="__RefHeading___Toc14567_3782269085">
            <w:r>
              <w:rPr/>
              <w:t>СПИСОК СОКРАЩЕНИЙ</w:t>
              <w:tab/>
              <w:t>3</w:t>
            </w:r>
          </w:hyperlink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hyperlink w:anchor="__RefHeading___Toc14569_3782269085">
            <w:r>
              <w:rPr/>
              <w:t>ВВЕДЕНИЕ</w:t>
              <w:tab/>
              <w:t>4</w:t>
            </w:r>
          </w:hyperlink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hyperlink w:anchor="__RefHeading___Toc14571_3782269085">
            <w:r>
              <w:rPr/>
              <w:t>Этиология.</w:t>
              <w:tab/>
              <w:t>5</w:t>
            </w:r>
          </w:hyperlink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hyperlink w:anchor="__RefHeading___Toc8588_1524604063">
            <w:r>
              <w:rPr/>
              <w:t>Патогенез.</w:t>
              <w:tab/>
              <w:t>8</w:t>
            </w:r>
          </w:hyperlink>
        </w:p>
        <w:p>
          <w:pPr>
            <w:pStyle w:val="22"/>
            <w:tabs>
              <w:tab w:val="clear" w:pos="708"/>
              <w:tab w:val="right" w:pos="9922" w:leader="dot"/>
            </w:tabs>
            <w:rPr/>
          </w:pPr>
          <w:hyperlink w:anchor="__RefHeading___Toc8590_1524604063">
            <w:r>
              <w:rPr/>
              <w:t>Нормальный метаболизм глюкозы.</w:t>
              <w:tab/>
              <w:t>8</w:t>
            </w:r>
          </w:hyperlink>
        </w:p>
        <w:p>
          <w:pPr>
            <w:pStyle w:val="22"/>
            <w:tabs>
              <w:tab w:val="clear" w:pos="708"/>
              <w:tab w:val="right" w:pos="9922" w:leader="dot"/>
            </w:tabs>
            <w:rPr/>
          </w:pPr>
          <w:hyperlink w:anchor="__RefHeading___Toc8592_1524604063">
            <w:r>
              <w:rPr/>
              <w:t>Механизмы возникновения гипергликемии.</w:t>
              <w:tab/>
              <w:t>9</w:t>
            </w:r>
          </w:hyperlink>
        </w:p>
        <w:p>
          <w:pPr>
            <w:pStyle w:val="32"/>
            <w:tabs>
              <w:tab w:val="clear" w:pos="708"/>
              <w:tab w:val="right" w:pos="9922" w:leader="dot"/>
            </w:tabs>
            <w:rPr/>
          </w:pPr>
          <w:hyperlink w:anchor="__RefHeading___Toc8594_1524604063">
            <w:r>
              <w:rPr/>
              <w:t>Устойчивость к инсулину.</w:t>
              <w:tab/>
              <w:t>9</w:t>
            </w:r>
          </w:hyperlink>
        </w:p>
        <w:p>
          <w:pPr>
            <w:pStyle w:val="32"/>
            <w:tabs>
              <w:tab w:val="clear" w:pos="708"/>
              <w:tab w:val="right" w:pos="9922" w:leader="dot"/>
            </w:tabs>
            <w:rPr/>
          </w:pPr>
          <w:hyperlink w:anchor="__RefHeading___Toc19076_3240844383">
            <w:r>
              <w:rPr/>
              <w:t>Относительная инсулиновая недостаточность – дисфункция бета- клеток.</w:t>
              <w:tab/>
              <w:t>9</w:t>
            </w:r>
          </w:hyperlink>
        </w:p>
        <w:p>
          <w:pPr>
            <w:pStyle w:val="32"/>
            <w:tabs>
              <w:tab w:val="clear" w:pos="708"/>
              <w:tab w:val="right" w:pos="9922" w:leader="dot"/>
            </w:tabs>
            <w:rPr/>
          </w:pPr>
          <w:hyperlink w:anchor="__RefHeading___Toc19078_3240844383">
            <w:r>
              <w:rPr/>
              <w:t>Относительная недостаточность инсулина – недостаточный инкретиновый ответ.</w:t>
              <w:tab/>
              <w:t>10</w:t>
            </w:r>
          </w:hyperlink>
        </w:p>
        <w:p>
          <w:pPr>
            <w:pStyle w:val="32"/>
            <w:tabs>
              <w:tab w:val="clear" w:pos="708"/>
              <w:tab w:val="right" w:pos="9922" w:leader="dot"/>
            </w:tabs>
            <w:rPr/>
          </w:pPr>
          <w:hyperlink w:anchor="__RefHeading___Toc19080_3240844383">
            <w:r>
              <w:rPr/>
              <w:t>Недостаточный контроль выработки глюкозы.</w:t>
              <w:tab/>
              <w:t>11</w:t>
            </w:r>
          </w:hyperlink>
        </w:p>
        <w:p>
          <w:pPr>
            <w:pStyle w:val="32"/>
            <w:tabs>
              <w:tab w:val="clear" w:pos="708"/>
              <w:tab w:val="right" w:pos="9922" w:leader="dot"/>
            </w:tabs>
            <w:rPr/>
          </w:pPr>
          <w:hyperlink w:anchor="__RefHeading___Toc19082_3240844383">
            <w:r>
              <w:rPr/>
              <w:t>Повышенная секреция контррегулирующих гормонов.</w:t>
              <w:tab/>
              <w:t>11</w:t>
            </w:r>
          </w:hyperlink>
        </w:p>
        <w:p>
          <w:pPr>
            <w:pStyle w:val="22"/>
            <w:tabs>
              <w:tab w:val="clear" w:pos="708"/>
              <w:tab w:val="right" w:pos="9922" w:leader="dot"/>
            </w:tabs>
            <w:rPr/>
          </w:pPr>
          <w:hyperlink w:anchor="__RefHeading___Toc19084_3240844383">
            <w:r>
              <w:rPr/>
              <w:t>Патофизиологические эффекты гипергликемии.</w:t>
              <w:tab/>
              <w:t>12</w:t>
            </w:r>
          </w:hyperlink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hyperlink w:anchor="__RefHeading___Toc14603_3782269085">
            <w:r>
              <w:rPr/>
              <w:t>Клиническая картина.</w:t>
              <w:tab/>
              <w:t>13</w:t>
            </w:r>
          </w:hyperlink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hyperlink w:anchor="__RefHeading___Toc14605_3782269085">
            <w:r>
              <w:rPr/>
              <w:t>Диагностика.</w:t>
              <w:tab/>
              <w:t>14</w:t>
            </w:r>
          </w:hyperlink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hyperlink w:anchor="__RefHeading___Toc14607_3782269085">
            <w:r>
              <w:rPr/>
              <w:t>Лечение.</w:t>
              <w:tab/>
              <w:t>16</w:t>
            </w:r>
          </w:hyperlink>
        </w:p>
        <w:p>
          <w:pPr>
            <w:pStyle w:val="22"/>
            <w:tabs>
              <w:tab w:val="clear" w:pos="708"/>
              <w:tab w:val="right" w:pos="9922" w:leader="dot"/>
            </w:tabs>
            <w:rPr/>
          </w:pPr>
          <w:hyperlink w:anchor="__RefHeading___Toc457_63507539">
            <w:r>
              <w:rPr/>
              <w:t>Снижение скорости инфузии глюкозы.</w:t>
              <w:tab/>
              <w:t>16</w:t>
            </w:r>
          </w:hyperlink>
        </w:p>
        <w:p>
          <w:pPr>
            <w:pStyle w:val="22"/>
            <w:tabs>
              <w:tab w:val="clear" w:pos="708"/>
              <w:tab w:val="right" w:pos="9922" w:leader="dot"/>
            </w:tabs>
            <w:rPr/>
          </w:pPr>
          <w:hyperlink w:anchor="__RefHeading___Toc459_63507539">
            <w:r>
              <w:rPr/>
              <w:t>Инсулинотерапия.</w:t>
              <w:tab/>
              <w:t>16</w:t>
            </w:r>
          </w:hyperlink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hyperlink w:anchor="__RefHeading___Toc19086_3240844383">
            <w:r>
              <w:rPr/>
              <w:t>Профилактика</w:t>
              <w:tab/>
              <w:t>19</w:t>
            </w:r>
          </w:hyperlink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hyperlink w:anchor="__RefHeading___Toc14613_3782269085">
            <w:r>
              <w:rPr/>
              <w:t>ЗАКЛЮЧЕНИЕ.</w:t>
              <w:tab/>
              <w:t>20</w:t>
            </w:r>
          </w:hyperlink>
        </w:p>
        <w:p>
          <w:pPr>
            <w:pStyle w:val="12"/>
            <w:tabs>
              <w:tab w:val="clear" w:pos="708"/>
              <w:tab w:val="right" w:pos="9922" w:leader="dot"/>
            </w:tabs>
            <w:rPr/>
          </w:pPr>
          <w:hyperlink w:anchor="__RefHeading___Toc14615_3782269085">
            <w:r>
              <w:rPr/>
              <w:t>СПИСОК ЛИТЕРАТУРЫ:</w:t>
              <w:tab/>
              <w:t>21</w:t>
            </w:r>
          </w:hyperlink>
          <w:r>
            <w:rPr/>
            <w:fldChar w:fldCharType="end"/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rPr>
          <w:rFonts w:ascii="Times New Roman" w:hAnsi="Times New Roman" w:cs="Times New Roman"/>
        </w:rPr>
      </w:pPr>
      <w:bookmarkStart w:id="0" w:name="__RefHeading___Toc14567_3782269085"/>
      <w:bookmarkStart w:id="1" w:name="_Toc157798740"/>
      <w:bookmarkEnd w:id="0"/>
      <w:r>
        <w:rPr>
          <w:rFonts w:cs="Times New Roman"/>
        </w:rPr>
        <w:t>СПИСОК СОКРАЩЕНИЙ</w:t>
      </w:r>
      <w:bookmarkEnd w:id="1"/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GLUT транспортеры глюкозы в клетки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АТФ  аденозинтрифосфат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АСТ  аспартатаминотрансфераза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АЛТ  аланинаминотрансфераза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ВЖК внутрижелудочковое кровоизлеяние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ИВЛ искусственная вентиляция легких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НЭК  некротический энтероколит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РДС респираторный дистресс-синдром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РН  ретинопатия недоношенных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ОНМТ очень низкая масса тела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ЭНМТ   экстремально низкая масса тела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ЦНС центральная нервная система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jc w:val="both"/>
        <w:rPr/>
      </w:pPr>
      <w:bookmarkStart w:id="2" w:name="__RefHeading___Toc14569_3782269085"/>
      <w:bookmarkStart w:id="3" w:name="_Toc157798741"/>
      <w:bookmarkEnd w:id="2"/>
      <w:r>
        <w:rPr>
          <w:rFonts w:eastAsia="Calibri" w:cs="Times New Roman"/>
        </w:rPr>
        <w:t>ВВЕДЕНИЕ</w:t>
      </w:r>
      <w:bookmarkEnd w:id="3"/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Неонатальная гипергликемия - это глюкоза крови более 8-10 ммоль/л в сочетании с глюкозурией, либо глюкоза крови &gt;10 ммоль/л вне зависимости от наличия глюкозурии у новорожденных детей.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Гипергликемии у новорожденных встречаются чаще, чем гипогликемии, особенно у детей с очень низкой (ОНМТ) и экстремально низкой массой тела при рождении (ЭНМТ). Поддержание нормогликемии у новорожденных зависит от адекватности запасов гликогена, созревания гликогенолитических и глюконеогенных путей, а также от интегрированного эндокринного ответа. Гомеостаз глюкозы требует баланса между использованием и производством глюкозы в печени. Баланс контролируется инсулином и контррегулирующими гормонами.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Распространенность неонатальной гипергликемии варьируется в зависимости от использованного порогового значения уровня глюкозы в крови и характеристик пациентов, таких как гестационный возраст и масса тела при рождении. Показатель гликемии также зависит от времени взятия пробы, то есть в момент поступления или во время госпитализации.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Неонатальная гипергликемия в значительной степени изучена недостаточно, потому что больше внимания часто уделяется гипогликемии, которая, как широко сообщается, связана как с немедленной, так и с длительной инвалидностью и смертностью по причине неврологического развития. Однако гипергликемия также может привести к осложнениям, которые включают осмотическое обезвоживание, внутричерепное кровоизлияние и повышенную восприимчивость к инфекциям. Это также  вносить вклад в неонатальную заболеваемость и смертность.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Гипергликемия у новорожденных развивается вследствие толерантности к глюкозе во время инфекционного процесса, сепсиса, холодного стресса и различных медицинских процедур. В связи, с чем изучение частоты нарушений углеводного обмена является актуальным.</w:t>
      </w:r>
    </w:p>
    <w:p>
      <w:pPr>
        <w:pStyle w:val="1"/>
        <w:jc w:val="both"/>
        <w:rPr/>
      </w:pPr>
      <w:bookmarkStart w:id="4" w:name="__RefHeading___Toc14571_3782269085"/>
      <w:bookmarkStart w:id="5" w:name="_Hlk148882542"/>
      <w:bookmarkEnd w:id="4"/>
      <w:r>
        <w:rPr/>
        <w:t>Этиология</w:t>
      </w:r>
      <w:bookmarkEnd w:id="5"/>
      <w:r>
        <w:rPr/>
        <w:t>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Ятрогенная причина — наиболее часто неонатальная гипергликемия возникает в результате избыточных вливаний концентрированных растворов глюкозы, особенно струйных. Парентеральное лечение глюкозой проводится в отделениях интенсивной терапии новорожденных недоношенным детям и больным доношенным новорожденным из-за задержки энтерального питания. Начало внутривенного капельного введения глюкозы в дозе 4-6 мг/кг/минуту в первый день с целью предотвращения гипогликемии у требующих внимания новорожденных предотвращает развитие гипогликемии и потенциальной гипергликемии.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Недоношенность — у новорожденных с ЭНМТ (&lt;1000 г), которые часто получают полное парентеральное питание, гипергликемия может развиться вторично по отношению к непереносимости глюкозы или вторично по отношению к сепсису и стрессовым факторам.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Нарушение регуляции углеводного обмена — у новорожденные с ЭНМТ наблюдается инсулинорезистентность и задержка инсулинового ответа. Даже при отсутствии высокой скорости инфузии глюкозы может наблюдаться гипергликемия из-за неадекватной секреции инсулина и неспособности подавить выработку глюкозы в печени. Кроме того, нарушение гомеостаза глюкозы может привести к преходящей гипергликемии у детей с малым весом для их гестационного возраста.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Назначение гиперосмолярной молочной смеси может привести к преходящей непереносимости глюкозы у новорожденных. В связи с гастроэнтеритом могут развиться тяжелое обезвоживание, гипернатриемия и гипергликемия.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Генетические отклонения — 46, делеция XDq хромосомы 13 может наблюдаться гипергликемия.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Липидная инфузия — повышенная концентрация свободных жирных кислот в плазме может привести к гипергликемическому ответу, который, в свою очередь, препятствует периферическому использованию глюкозы и ингибирует эффекты инсулина.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Позднее начало потребления белка — раннее потребление белка влияет на высвобождение инсулиноподобного фактора роста-1, который снижает уровень глюкозы в крови, увеличивая использование периферической глюкозы, увеличивая синтез гликогена и подавляя выработку глюкозы в печени. Относительный дефицит инсулина у недоношенных детей вызывает низкий уровень инсулиноподобного фактора роста-1, который предотвращает развитие бета- клеток поджелудочной железы и приводит к гипергликемии.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Тяжелые инфекционные заболевания, сепсис — если гипергликемия развивается у нормогликемических и клинически стабильных новорожденных без изменения скорости инфузии глюкозы, следует рассмотреть возможность сепсиса и НЭК, т.к. при сепсисе снижается секреция инсулина, уменьшается периферическая утилизация глюкозы.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Стресс —  боль, гипоксия, хирургические вмешательства и респираторный дистресс-синдром, вызывают гипергликемию, вторичную по отношению к повышению уровня контррегулирующих гормонов (кортизола и катехоламинов) у новорожденных. Точно так же РДС и ИВЛ у новорожденных с ЭНМТ в течение первых двух недель жизни были связаны с повышением риска гипергликемии &gt;16 ммоль/л в 11 и 4 раза соответственно.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Лекарственные средства — использование диазоксида матерью и неонатальное употребление кофеина, стероидов, метилксантинов и фенитоина может привести к гипергликемии.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Сахарный диабет у новорожденных — неонатальный диабет является редкой причиной гипергликемии, с предполагаемой частотой 1 в 500 000 родов. Характеризуется стойкой гипергликемией, возникающей в первые месяцы жизни, которая длится более 2 недель и требует инсулина для лечения. Эти дети всегда малы для своего гестационного возраста, у них наблюдается низкая масса тела, гипергликемия, глюкозурия с кетонурией и кетоацидозом или без них. Неонатальный диабет вызывается мутациями в ряде генов, которые кодируют белки, которые играют критическую роль в нормальной функции бета-клеток поджелудочной железы, такие как белки, которые являются субъединицами калиевого   канала,    чувствительного    к аденозинтрифосфату (АТФ). Течение неонатального диабета варьируется в зависимости от пораженного гена.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jc w:val="both"/>
        <w:rPr/>
      </w:pPr>
      <w:bookmarkStart w:id="6" w:name="__RefHeading___Toc8588_1524604063"/>
      <w:bookmarkEnd w:id="6"/>
      <w:r>
        <w:rPr/>
        <w:t>Патогенез.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jc w:val="both"/>
        <w:rPr/>
      </w:pPr>
      <w:bookmarkStart w:id="7" w:name="__RefHeading___Toc8590_1524604063"/>
      <w:bookmarkEnd w:id="7"/>
      <w:r>
        <w:rPr/>
        <w:t>Нормальный метаболизм глюкозы.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Во время беременности мать является основным поставщиком глюкозы для плода через плаценту. Поджелудочная железа плода начинает секретировать инсулин в ответ на глюкозу после 20 недель гестации, и секреция инсулина увеличивается после этого в течение третьего триместра. Инсулин усиливает синтез жирных кислот в печени и поглощение глюкозы в жировой ткани, способствуя отложению жира.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После родов поступление глюкозы от матери внезапно прекращается, и концентрация глюкозы в крови падает. Секреция инсулина новорожденным должна затем адаптироваться к новым поступлениям глюкозы, которым подвергается новорожденный. Этот процесс стабилизации инсулина и глюкозы имеет решающее значение для обеспечения мозга и других жизненно важных органов достаточным количеством глюкозы в качестве источника энергии. Процесс стабилизации происходит за счет активации печеночного гликогенолиза (расщепления гликогена до глюкозы) и глюконеогенеза (продуцирование новой глюкозы) в ответ на снижение секреции инсулина и повышение уровня контррегуляторных гормонов (кортизола, глюкагона, гормона роста и катехоламинов). Последняя стадия как гликогенолиза, так и глюконеогенеза катализируется одним и тем же ферментом глюкозо-6-фосфатазой. Активность этого фермента регулируется снижением уровня инсулина. У здоровых доношенных новорожденных этот процесс метаболического созревания происходит в течение первых нескольких дней жизни: уровень активности фермента низок до рождения и быстро увеличивается до уровня активности взрослых к трем дням жизни. В течение этого времени энтеральные поступления увеличиваются, но до тех пор, пока не будет установлено эффективное энтеральное питание, гликогенолиз и глюконеогенез являются единственными источниками глюкозы для новорожденного.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Глюкозу нужно транспортировать в клетки для ее использования. Этому способствуют транспортеры глюкозы (GLUT). GLUT-1 экспрессируется особенно в гематоэнцефалическом барьере и на эритроцитах. GLUT-2 обнаруживается в основном на β-клетках поджелудочной железы, печени и почках. GLUT-3 находится в мозге. GLUT-4 экспрессируется в сердце, скелетных мышцах и жировой ткани и реагирует на инсулин. Это означает, что, хотя инсулин способствует притоку глюкозы в мышечные и жировые клетки через GLUT- 4, он не играет роли в стимулировании поглощения глюкозы в мозге. В течение эмбриональной и ранней неонатальной жизни GLUT-1 является преобладающим типом транспортера глюкозы, позволяя доступной глюкозе поглощаться мозгом и эритроцитами и постепенно заменяться другими типами транпортеров по мере взросления ребенка.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jc w:val="both"/>
        <w:rPr/>
      </w:pPr>
      <w:bookmarkStart w:id="8" w:name="__RefHeading___Toc8592_1524604063"/>
      <w:bookmarkEnd w:id="8"/>
      <w:r>
        <w:rPr/>
        <w:t xml:space="preserve">Механизмы возникновения гипергликемии. </w:t>
      </w:r>
    </w:p>
    <w:p>
      <w:pPr>
        <w:pStyle w:val="3"/>
        <w:jc w:val="both"/>
        <w:rPr/>
      </w:pPr>
      <w:bookmarkStart w:id="9" w:name="__RefHeading___Toc8594_1524604063"/>
      <w:bookmarkEnd w:id="9"/>
      <w:r>
        <w:rPr/>
        <w:t>Устойчивость к инсулину.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Гипергликемия может быть вызвана недостаточным воздействием инсулина на периферические ткани (мышцы, жир). Недоношенные дети имеют более низкую чувствительность к инсулину. Резистентность к инсулину также может быть вызвана повышенным уровнем провоспалительных цитокинов (фактора некроза опухоли-α, интерлейкина-1, интерлейкина-6) вследствие, например, сепсиса и НЭК. Возможно высокое потребление аминокислот, усиливая выработку глюкозы, может усугубить инсулинорезистентность.</w:t>
      </w:r>
    </w:p>
    <w:p>
      <w:pPr>
        <w:pStyle w:val="3"/>
        <w:jc w:val="both"/>
        <w:rPr/>
      </w:pPr>
      <w:bookmarkStart w:id="10" w:name="__RefHeading___Toc19076_3240844383"/>
      <w:bookmarkEnd w:id="10"/>
      <w:r>
        <w:rPr/>
        <w:t>Относительная инсулиновая недостаточность – дисфункция бета- клеток.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Бансал А. и др. на модели недоношенных ягнят показали, что преждевременные роды снижают массу бета-клеток, последствия чего проявлялись через 4 недели после родов, что сохранялось до 12 месяцев (что эквивалентно взрослому возрасту). Это было связано со снижением секреции инсулина в возрасте 4 месяцев (ювенильный возраст) и снижением экспрессии мРНК инсулина во взрослом возрасте. Гипергликемия у недоношенных еще больше снижает экспрессию ключевых генов поджелудочной железы во взрослом возрасте. Если предположить схожесть патофизиологических процессов, то эти данные показывают, что у недоношенных детей снижение массы β-клеток после преждевременных родов может быть важным фактором риска развития диабета и усугубляться постнатальной гипергликемией.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Установлено, что низкая эндогенная продукция С-пептида (маркера выработки инсулина) преобладает у тяжелобольных детей с дыхательной и сердечно-сосудистой недостаточностью, у которых развивается гипергликемия. Уровень проинсулина (менее активного белка, который не может эффективно регулировать концентрацию глюкозы и должен сначала перерабатываться в инсулин, чтобы оказывать свое регулирующее действие) у недоношенных новорожденных был выше, чем у доношенных новорожденных, причем уровень проинсулина падал у новорожденных с гипергликемией после инфузии инсулина. Эти данные привели к выводу, что процессинг проинсулина в бета-клетках частично нарушен у детей с ОНМТ и ЭНМТ.</w:t>
      </w:r>
    </w:p>
    <w:p>
      <w:pPr>
        <w:pStyle w:val="3"/>
        <w:jc w:val="both"/>
        <w:rPr/>
      </w:pPr>
      <w:bookmarkStart w:id="11" w:name="__RefHeading___Toc19078_3240844383"/>
      <w:bookmarkEnd w:id="11"/>
      <w:r>
        <w:rPr/>
        <w:t>Относительная недостаточность инсулина – недостаточный инкретиновый ответ.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Инкретины - это гормоны, секретируемые клетками желудочно- кишечного тракта, включают глюкагоноподобный пептид 1 и глюкозозависимый инсулинотропный полипептид. У взрослых инкретины увеличивают секрецию инсулина в ответ на прием пищи. Нормальное установление энтерального питания часто задерживается у недоношенных детей, и поэтому нормальной стимуляции инкретинов питанием не происходит. Это может способствовать относительному дефициту инсулина у этих детей, т.к. энтеральное питание недоношенных новорожденных приводит к повышению уровня глюкагоноподобных веществ пептидов 1 уровня. Однако даже при энтеральном питании было обнаружено, что недоношенные новорожденные не проявляют адекватного инкретинового ответа по сравнению с доношенными новорожденными. Отсроченное введение энтерального питания у этих детей может препятствовать становлению секреции инсулина в ответ на глюкозу крови. Таким образом, при энтеральном питании реакция повышения уровня глюкагоноподобного пептида 1 может быть недостаточной для регуляции уровня глюкозы в крови, так как инсулин не секретируется в достаточном количестве.</w:t>
      </w:r>
    </w:p>
    <w:p>
      <w:pPr>
        <w:pStyle w:val="3"/>
        <w:jc w:val="both"/>
        <w:rPr/>
      </w:pPr>
      <w:bookmarkStart w:id="12" w:name="__RefHeading___Toc19080_3240844383"/>
      <w:bookmarkEnd w:id="12"/>
      <w:r>
        <w:rPr/>
        <w:t>Недостаточный контроль выработки глюкозы.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Предполагается, что гипергликемия может быть вызвана персистирующей продукцией глюкозы в печени, что бывает у детей с тяжелыми респираторными заболеваниями и/или тяжелой бактериальной инфекцией. 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 недоношенных новорожденных уровень инсулина влияет на регуляцию глюкозы плазмы в большей степени, чем сам уровень глюкозы в плазме. Например, в одном из исследований наблюдали недоношенных новорожденных, получавших полное парентеральное питание, обеспечивающее глюкозу со скоростью, превышающей нормальную скорость оборота глюкозы у новорожденных, то есть младенцев, которые должны были реагировать на высокое потребление глюкозы снижением скорости глюконеогенеза. Было выявлено, что глюконеогенез продолжает продуцировать глюкозу со скоростью 1,3 мг/кг/мин (1,9 г/кг/сут), и на эту скорость не влияли общая скорость инфузии глюкозы и концентрация глюкозы. Стойкая эндогенная выработка глюкозы, несмотря на инфузию глюкозы была обнаружена также у детей с низкой массой тела при рождении в возрасте 2-5 недель. Было также обнаружено, что глюконеогенез у новорожденных с ЭНМТ оставался неизменным, несмотря на значительное снижение скорости инфузии глюкозы (вместо увеличения, как ожидалось). Это позволяет предполагать, что недоношенные дети имеют более низкую активность глюкозо-6-фосфатазы, что подразумевает более низкую активность глюконеогенеза.</w:t>
      </w:r>
    </w:p>
    <w:p>
      <w:pPr>
        <w:pStyle w:val="3"/>
        <w:jc w:val="both"/>
        <w:rPr/>
      </w:pPr>
      <w:bookmarkStart w:id="13" w:name="__RefHeading___Toc19082_3240844383"/>
      <w:bookmarkEnd w:id="13"/>
      <w:r>
        <w:rPr/>
        <w:t>Повышенная секреция контррегулирующих гормонов.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Уровень кортизола повышается в течение первых дней жизни у недоношенных детей, и чем ниже гестационный возраст при рождении, тем выше уровень кортизола. Высокий уровень кортизола может привести к гипергликемии за счет стимуляции глюконеогенеза и снижения поглощения глюкозы клетками мышечной и жировой ткани.</w:t>
      </w:r>
    </w:p>
    <w:p>
      <w:pPr>
        <w:pStyle w:val="2"/>
        <w:jc w:val="both"/>
        <w:rPr/>
      </w:pPr>
      <w:bookmarkStart w:id="14" w:name="__RefHeading___Toc19084_3240844383"/>
      <w:bookmarkEnd w:id="14"/>
      <w:r>
        <w:rPr/>
        <w:t>Патофизиологические эффекты гипергликемии.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Гипергликемия приводит к повышенному поглощению глюкозы клетками. Перегрузка глюкозой в клетке увеличивает образование свободных радикалов кислорода, что, в свою очередь, может вызвать митохондриальную дисфункцию и усиление апоптоза клеток. Другие эффекты гипергликемии включают снижение активности нейтрофилов, снижение функции комплемента и изменение баланса провоспалительных цитокинов, что может привести к повышенной восприимчивости к инфекциям.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jc w:val="both"/>
        <w:rPr>
          <w:rFonts w:cs="Times New Roman"/>
        </w:rPr>
      </w:pPr>
      <w:bookmarkStart w:id="15" w:name="__RefHeading___Toc14603_3782269085"/>
      <w:bookmarkStart w:id="16" w:name="_Toc157798758"/>
      <w:bookmarkEnd w:id="15"/>
      <w:r>
        <w:rPr>
          <w:rFonts w:cs="Times New Roman"/>
        </w:rPr>
        <w:t>Клиническая картина.</w:t>
      </w:r>
      <w:bookmarkEnd w:id="16"/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Главным негативным последствием повышения концентрации глюкозы будет изменение осмолярности (гиперосмия). Повышение концентрации глюкозы на 18 мг (1 ммоль/л) увеличивает осмолярность на 1 мОсм/л. Именно повышение осмолярости, и как следствие, увеличение проницаемости гистогематогенных барьеров, и будет определять клиническую картину гипергликемий.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Как известно, у детей более старшего возраста и у взрослых при сахарном диабете может быть гиперосмолярная кома, то есть повышение осмолярности более 300-305 мосмоль/л приводит к выраженной неврологической симптоматике. У новорожденных повышение осмолярности приводит не только к выраженному синдрому угнетения ЦНС, обусловленному отеком мозга, но и к развитию ВЖК со всеми вытекающими отсюда последствиями (нарушению гемодинамики, дыхательной недостаточности, судорогам, апноэ и т.д). Особенно это опасно для детей с гипербилирубинемиями, так как повышение проницаемости гематоэнцефалического барьера увеличивает нейротоксичность непрямого билирубина. Вследствие отека мозга происходит не только угнетение ЦНС, но и наблюдаются потеря сознания, судороги, сердечно-сосудистая и дыхательная недостаточность вплоть до остановки дыхания. Повышение осмолярности также приводит к осмотическому диурезу и, как следствие, к обезвоживанию ребенка.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Но зачастую повышение осмолярности и негативные последствия гиперосмии недооцениваются в лечебной практике. Чаще всего неврологическую симптоматику у ребенка связывают с другими причинами, назначая не вполне обоснованное лечение.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наблюдении за новорожденными с ОНМТ гипергликемия связана с внутричерепным кровоизлиянием, НЭК 2/3 стадии, повышенным риском сепсиса, ретинопатией недоношенных, состояниями повышенной стрессовой нагрузки, хирургическими вмешательствами, использованием ИВЛ, задержкой роста и повышенной смертностью. Однако нет установленного уровня глюкозы в крови для развития этих исходов.</w:t>
      </w:r>
    </w:p>
    <w:p>
      <w:pPr>
        <w:pStyle w:val="1"/>
        <w:jc w:val="both"/>
        <w:rPr/>
      </w:pPr>
      <w:bookmarkStart w:id="17" w:name="__RefHeading___Toc14605_3782269085"/>
      <w:bookmarkStart w:id="18" w:name="_Toc157798759"/>
      <w:bookmarkEnd w:id="17"/>
      <w:r>
        <w:rPr>
          <w:rFonts w:cs="Times New Roman"/>
        </w:rPr>
        <w:t>Диагностика.</w:t>
      </w:r>
      <w:bookmarkEnd w:id="18"/>
    </w:p>
    <w:p>
      <w:pPr>
        <w:pStyle w:val="Normal"/>
        <w:jc w:val="both"/>
        <w:rPr>
          <w:rFonts w:cs="Times New Roman"/>
        </w:rPr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Физикальное обследование: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Нет специфических симптомов для гипергликемии. Физикальное обследование может выявить признаки вялого сосания, сухости, полиурии и признаки связанного состояния/заболевания, например сепсиса, то есть нестабильность температуры и снижение периферической перфузии.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Лабораторные исследования: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Уровень глюкозы в сыворотке. Рекомендуется использовать измерение глюкозы перед лечением в венозной крови, потому что капиллярная кровь показывает уровень в цельной крови, который на 15% ниже. Однако целесообразно контролировать уровень глюкозы в крови с помощью капиллярных измерений, поскольку невозможно будет получить венозную кровь каждый раз, когда необходимо измерение уровня глюкозы в крови в отделениях интенсивной терапии. </w:t>
      </w:r>
      <w:r>
        <w:rPr>
          <w:rFonts w:cs="Times New Roman" w:ascii="Times New Roman" w:hAnsi="Times New Roman"/>
          <w:sz w:val="28"/>
          <w:szCs w:val="28"/>
        </w:rPr>
        <w:t>Наилучшим решением будет использовать с</w:t>
      </w:r>
      <w:r>
        <w:rPr>
          <w:rFonts w:cs="Times New Roman" w:ascii="Times New Roman" w:hAnsi="Times New Roman"/>
          <w:sz w:val="28"/>
          <w:szCs w:val="28"/>
        </w:rPr>
        <w:t xml:space="preserve">истемы непрерывного измерения глюкозы, </w:t>
      </w:r>
      <w:r>
        <w:rPr>
          <w:rFonts w:cs="Times New Roman" w:ascii="Times New Roman" w:hAnsi="Times New Roman"/>
          <w:sz w:val="28"/>
          <w:szCs w:val="28"/>
        </w:rPr>
        <w:t>так как</w:t>
      </w:r>
      <w:r>
        <w:rPr>
          <w:rFonts w:cs="Times New Roman" w:ascii="Times New Roman" w:hAnsi="Times New Roman"/>
          <w:sz w:val="28"/>
          <w:szCs w:val="28"/>
        </w:rPr>
        <w:t xml:space="preserve"> количество вмешательств велико, </w:t>
      </w:r>
      <w:r>
        <w:rPr>
          <w:rFonts w:cs="Times New Roman" w:ascii="Times New Roman" w:hAnsi="Times New Roman"/>
          <w:sz w:val="28"/>
          <w:szCs w:val="28"/>
        </w:rPr>
        <w:t>и периодическим измерениями можно упустить эпизоды</w:t>
      </w:r>
      <w:r>
        <w:rPr>
          <w:rFonts w:cs="Times New Roman" w:ascii="Times New Roman" w:hAnsi="Times New Roman"/>
          <w:sz w:val="28"/>
          <w:szCs w:val="28"/>
        </w:rPr>
        <w:t xml:space="preserve"> гипогликемии и гипергликемии. </w:t>
      </w:r>
      <w:r>
        <w:rPr>
          <w:rFonts w:cs="Times New Roman" w:ascii="Times New Roman" w:hAnsi="Times New Roman"/>
          <w:sz w:val="28"/>
          <w:szCs w:val="28"/>
        </w:rPr>
        <w:t>К сожалению, системы непрерывного измерения глюкозы не всегда доступны медицинским организациям, и не везде разрешенно их применения у новорожденных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Обнаружение глюкозы в моче: глюкозурия - показатель осмотического диуреза. Уровень глюкозы в моче 2+ или выше увеличивает риск осмотического диуреза. Каждое повышение уровня глюкозы в крови на 18 мг/дл увеличивает   осмолярность   сыворотки   крови   на   1   мОсм/л. Нормальная осмолярность 280-300 мОсм/л.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Общий </w:t>
      </w:r>
      <w:r>
        <w:rPr>
          <w:rFonts w:cs="Times New Roman" w:ascii="Times New Roman" w:hAnsi="Times New Roman"/>
          <w:sz w:val="28"/>
          <w:szCs w:val="28"/>
        </w:rPr>
        <w:t xml:space="preserve">и биохимический </w:t>
      </w: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крови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дифференциальной диагностики. У всех новорожденных с гипергликемией обязательно необходимо исключать возможность сепсиса, поэтому дополнительно с общим анализом крови нужно брать кровь на белки острой фазы.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Электролиты сыворотки, </w:t>
      </w:r>
      <w:r>
        <w:rPr>
          <w:rFonts w:cs="Times New Roman" w:ascii="Times New Roman" w:hAnsi="Times New Roman"/>
          <w:sz w:val="28"/>
          <w:szCs w:val="28"/>
        </w:rPr>
        <w:t>так как</w:t>
      </w:r>
      <w:r>
        <w:rPr>
          <w:rFonts w:cs="Times New Roman" w:ascii="Times New Roman" w:hAnsi="Times New Roman"/>
          <w:sz w:val="28"/>
          <w:szCs w:val="28"/>
        </w:rPr>
        <w:t xml:space="preserve"> гипергликемия вызывает потерю электролитов с мочой, приводя к осмотическому диурезу.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Уровни С-пептида в сыворотке и моче для дифференциальной диагностики моногенного диабета и диабета 1 типа.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jc w:val="both"/>
        <w:rPr/>
      </w:pPr>
      <w:bookmarkStart w:id="19" w:name="__RefHeading___Toc14607_3782269085"/>
      <w:bookmarkStart w:id="20" w:name="_Toc157798760"/>
      <w:bookmarkEnd w:id="19"/>
      <w:r>
        <w:rPr>
          <w:rFonts w:cs="Times New Roman"/>
        </w:rPr>
        <w:t>Лечение.</w:t>
      </w:r>
      <w:bookmarkEnd w:id="20"/>
    </w:p>
    <w:p>
      <w:pPr>
        <w:pStyle w:val="Normal"/>
        <w:jc w:val="both"/>
        <w:rPr>
          <w:rFonts w:cs="Times New Roman"/>
        </w:rPr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лечении гипергликемии у новорожденных детей используют следующие методы:</w:t>
      </w:r>
    </w:p>
    <w:p>
      <w:pPr>
        <w:pStyle w:val="2"/>
        <w:rPr/>
      </w:pPr>
      <w:bookmarkStart w:id="21" w:name="__RefHeading___Toc457_63507539"/>
      <w:bookmarkEnd w:id="21"/>
      <w:r>
        <w:rPr/>
        <w:t>Снижение скорости инфузии глюкозы.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Первым шагом в лечении является снижение скорости парентерального введения глюкозы. Снижение скорости поступления на 1 мг/кг/мин (не менее 4 мг/кг/ мин) обычно снижает концентрацию глюкозы в крови. Рассмотреть возможност</w:t>
      </w:r>
      <w:r>
        <w:rPr>
          <w:rFonts w:cs="Times New Roman" w:ascii="Times New Roman" w:hAnsi="Times New Roman"/>
          <w:sz w:val="28"/>
          <w:szCs w:val="28"/>
        </w:rPr>
        <w:t xml:space="preserve">ь </w:t>
      </w:r>
      <w:r>
        <w:rPr>
          <w:rFonts w:cs="Times New Roman" w:ascii="Times New Roman" w:hAnsi="Times New Roman"/>
          <w:sz w:val="28"/>
          <w:szCs w:val="28"/>
        </w:rPr>
        <w:t>увеличения дозы аминокислот, уменьшить скорость инфузии жировой эмульсии на 0,5 г/кг/сут.  Если новорожденным вводить раствор для парентерального питания с уменьшенным поступлением глюкозы и липидную эмульсию, то они могут поддерживать нормогликемию за счет  метаболизма глицерина и аминокислот.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Однако снижение скорости инфузии глюкозы - краткосрочное решение, поскольку это приводит к снижению потребления калорий и </w:t>
      </w:r>
      <w:r>
        <w:rPr>
          <w:rFonts w:cs="Times New Roman" w:ascii="Times New Roman" w:hAnsi="Times New Roman"/>
          <w:sz w:val="28"/>
          <w:szCs w:val="28"/>
        </w:rPr>
        <w:t>снижает темпы</w:t>
      </w:r>
      <w:r>
        <w:rPr>
          <w:rFonts w:cs="Times New Roman" w:ascii="Times New Roman" w:hAnsi="Times New Roman"/>
          <w:sz w:val="28"/>
          <w:szCs w:val="28"/>
        </w:rPr>
        <w:t xml:space="preserve"> рост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. Толерантность к глюкозе обычно улучшается при переходе на энтеральное питание.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 новорожденных с гипергликемией, получающих глюкозу уровень глюкозы в крови обычно измеряется каждые 4-6 часов, </w:t>
      </w:r>
      <w:r>
        <w:rPr>
          <w:rFonts w:cs="Times New Roman" w:ascii="Times New Roman" w:hAnsi="Times New Roman"/>
          <w:sz w:val="28"/>
          <w:szCs w:val="28"/>
        </w:rPr>
        <w:t xml:space="preserve">и в каждой порции мочи. </w:t>
      </w:r>
      <w:r>
        <w:rPr>
          <w:rFonts w:cs="Times New Roman" w:ascii="Times New Roman" w:hAnsi="Times New Roman"/>
          <w:sz w:val="28"/>
          <w:szCs w:val="28"/>
        </w:rPr>
        <w:t xml:space="preserve">При высоком уровне глюкозы в моче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≥ 2 (+)</w:t>
      </w:r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, количество глюкозы в жидкости для внутривенного вливания снижается на 1-2 мг/кг/минуту каждые 2-4 часа, чтобы снизить количество глюкозы до 4 мг/кг/мин. При низком уровне глюкозы в моче - если глюкоза необходима для получения калорий, высокие уровни глюкозы (200 мг/дл) приемлемы, если нет экскреции глюкозы </w:t>
      </w:r>
      <w:r>
        <w:rPr>
          <w:rFonts w:cs="Times New Roman" w:ascii="Times New Roman" w:hAnsi="Times New Roman"/>
          <w:sz w:val="28"/>
          <w:szCs w:val="28"/>
        </w:rPr>
        <w:t>с мочой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36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2"/>
        <w:rPr/>
      </w:pPr>
      <w:bookmarkStart w:id="22" w:name="__RefHeading___Toc459_63507539"/>
      <w:bookmarkEnd w:id="22"/>
      <w:r>
        <w:rPr/>
        <w:t>Инсулинотерапия.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Стартовая доза инсулина </w:t>
      </w:r>
      <w:r>
        <w:rPr>
          <w:rFonts w:cs="Times New Roman" w:ascii="Times New Roman" w:hAnsi="Times New Roman"/>
          <w:sz w:val="28"/>
          <w:szCs w:val="28"/>
        </w:rPr>
        <w:t xml:space="preserve">при </w:t>
      </w:r>
      <w:r>
        <w:rPr>
          <w:rFonts w:cs="Times New Roman" w:ascii="Times New Roman" w:hAnsi="Times New Roman"/>
          <w:sz w:val="28"/>
          <w:szCs w:val="28"/>
        </w:rPr>
        <w:t>глюкоз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крови: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&gt; 8-10,9 ммоль/л – 0,02 Ед/кг/час;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&gt; 11-14,9 ммоль/л – 0,05 Ед/кг/час;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&gt; 15-19,9 ммоль/л – 0,1 Ед/кг/час;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20 и более ммоль/л – 0,1 Ед/кг/час в/в струйно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Одновременно с назначением инсулина скорость поступления глюкозы повышается с 4 до 5 мг/кг/мин.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Необходимо помнить о том, что назначение инсулина требует мониторирования уровня глюкозы крови. После начала инфузии инсулина контроль уровня глюкозы каждый час в течение 3 часов до достижения уровня глюкозы &lt;10 ммоль/л, далее каждые 3 часа.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уровень глюкозы в крови снижается </w:t>
      </w: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z w:val="28"/>
          <w:szCs w:val="28"/>
        </w:rPr>
        <w:t xml:space="preserve"> 4 ммоль/л </w:t>
      </w:r>
      <w:r>
        <w:rPr>
          <w:rFonts w:cs="Times New Roman" w:ascii="Times New Roman" w:hAnsi="Times New Roman"/>
          <w:sz w:val="28"/>
          <w:szCs w:val="28"/>
        </w:rPr>
        <w:t>и ниже</w:t>
      </w:r>
      <w:r>
        <w:rPr>
          <w:rFonts w:cs="Times New Roman" w:ascii="Times New Roman" w:hAnsi="Times New Roman"/>
          <w:sz w:val="28"/>
          <w:szCs w:val="28"/>
        </w:rPr>
        <w:t>, инфузи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инсулина </w:t>
      </w:r>
      <w:r>
        <w:rPr>
          <w:rFonts w:cs="Times New Roman" w:ascii="Times New Roman" w:hAnsi="Times New Roman"/>
          <w:sz w:val="28"/>
          <w:szCs w:val="28"/>
        </w:rPr>
        <w:t xml:space="preserve">следует </w:t>
      </w:r>
      <w:r>
        <w:rPr>
          <w:rFonts w:cs="Times New Roman" w:ascii="Times New Roman" w:hAnsi="Times New Roman"/>
          <w:sz w:val="28"/>
          <w:szCs w:val="28"/>
        </w:rPr>
        <w:t>прекра</w:t>
      </w:r>
      <w:r>
        <w:rPr>
          <w:rFonts w:cs="Times New Roman" w:ascii="Times New Roman" w:hAnsi="Times New Roman"/>
          <w:sz w:val="28"/>
          <w:szCs w:val="28"/>
        </w:rPr>
        <w:t>тить</w:t>
      </w:r>
      <w:r>
        <w:rPr>
          <w:rFonts w:cs="Times New Roman" w:ascii="Times New Roman" w:hAnsi="Times New Roman"/>
          <w:sz w:val="28"/>
          <w:szCs w:val="28"/>
        </w:rPr>
        <w:t xml:space="preserve">. Если глюкоза крови &lt; 2,6 ммоль/л, </w:t>
      </w:r>
      <w:r>
        <w:rPr>
          <w:rFonts w:cs="Times New Roman" w:ascii="Times New Roman" w:hAnsi="Times New Roman"/>
          <w:sz w:val="28"/>
          <w:szCs w:val="28"/>
        </w:rPr>
        <w:t xml:space="preserve">то помимо остановки </w:t>
      </w:r>
      <w:r>
        <w:rPr>
          <w:rFonts w:cs="Times New Roman" w:ascii="Times New Roman" w:hAnsi="Times New Roman"/>
          <w:sz w:val="28"/>
          <w:szCs w:val="28"/>
        </w:rPr>
        <w:t xml:space="preserve">введение инсулина. </w:t>
      </w:r>
      <w:r>
        <w:rPr>
          <w:rFonts w:cs="Times New Roman" w:ascii="Times New Roman" w:hAnsi="Times New Roman"/>
          <w:sz w:val="28"/>
          <w:szCs w:val="28"/>
        </w:rPr>
        <w:t>Подключается внутривенно</w:t>
      </w:r>
      <w:r>
        <w:rPr>
          <w:rFonts w:cs="Times New Roman" w:ascii="Times New Roman" w:hAnsi="Times New Roman"/>
          <w:sz w:val="28"/>
          <w:szCs w:val="28"/>
        </w:rPr>
        <w:t xml:space="preserve"> 10% р</w:t>
      </w:r>
      <w:r>
        <w:rPr>
          <w:rFonts w:cs="Times New Roman" w:ascii="Times New Roman" w:hAnsi="Times New Roman"/>
          <w:sz w:val="28"/>
          <w:szCs w:val="28"/>
        </w:rPr>
        <w:t>аство</w:t>
      </w:r>
      <w:r>
        <w:rPr>
          <w:rFonts w:cs="Times New Roman" w:ascii="Times New Roman" w:hAnsi="Times New Roman"/>
          <w:sz w:val="28"/>
          <w:szCs w:val="28"/>
        </w:rPr>
        <w:t xml:space="preserve">р глюкозы </w:t>
      </w:r>
      <w:r>
        <w:rPr>
          <w:rFonts w:cs="Times New Roman" w:ascii="Times New Roman" w:hAnsi="Times New Roman"/>
          <w:sz w:val="28"/>
          <w:szCs w:val="28"/>
        </w:rPr>
        <w:t>струйно из расчета</w:t>
      </w:r>
      <w:r>
        <w:rPr>
          <w:rFonts w:cs="Times New Roman" w:ascii="Times New Roman" w:hAnsi="Times New Roman"/>
          <w:sz w:val="28"/>
          <w:szCs w:val="28"/>
        </w:rPr>
        <w:t xml:space="preserve"> 2 мг/кг/минуту. </w:t>
      </w:r>
      <w:r>
        <w:rPr>
          <w:rFonts w:cs="Times New Roman" w:ascii="Times New Roman" w:hAnsi="Times New Roman"/>
          <w:sz w:val="28"/>
          <w:szCs w:val="28"/>
        </w:rPr>
        <w:t>Мониторинг</w:t>
      </w:r>
      <w:r>
        <w:rPr>
          <w:rFonts w:cs="Times New Roman" w:ascii="Times New Roman" w:hAnsi="Times New Roman"/>
          <w:sz w:val="28"/>
          <w:szCs w:val="28"/>
        </w:rPr>
        <w:t xml:space="preserve"> уровня глюкозы </w:t>
      </w:r>
      <w:r>
        <w:rPr>
          <w:rFonts w:cs="Times New Roman" w:ascii="Times New Roman" w:hAnsi="Times New Roman"/>
          <w:sz w:val="28"/>
          <w:szCs w:val="28"/>
        </w:rPr>
        <w:t xml:space="preserve">выполняют </w:t>
      </w:r>
      <w:r>
        <w:rPr>
          <w:rFonts w:cs="Times New Roman" w:ascii="Times New Roman" w:hAnsi="Times New Roman"/>
          <w:sz w:val="28"/>
          <w:szCs w:val="28"/>
        </w:rPr>
        <w:t>каждые 30 мин до достижения уровня глюкозы &gt; 4 ммоль/л.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уровень глюкозы в крови снизился более чем на 50%, то и дозу дотации инсулина снижают на 50%.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снижении</w:t>
      </w:r>
      <w:r>
        <w:rPr>
          <w:rFonts w:cs="Times New Roman" w:ascii="Times New Roman" w:hAnsi="Times New Roman"/>
          <w:sz w:val="28"/>
          <w:szCs w:val="28"/>
        </w:rPr>
        <w:t xml:space="preserve"> глюкозы на 25-50%, </w:t>
      </w:r>
      <w:r>
        <w:rPr>
          <w:rFonts w:cs="Times New Roman" w:ascii="Times New Roman" w:hAnsi="Times New Roman"/>
          <w:sz w:val="28"/>
          <w:szCs w:val="28"/>
        </w:rPr>
        <w:t xml:space="preserve">до </w:t>
      </w:r>
      <w:r>
        <w:rPr>
          <w:rFonts w:cs="Times New Roman" w:ascii="Times New Roman" w:hAnsi="Times New Roman"/>
          <w:sz w:val="28"/>
          <w:szCs w:val="28"/>
        </w:rPr>
        <w:t xml:space="preserve">6-7,9 ммоль/л, </w:t>
      </w:r>
      <w:r>
        <w:rPr>
          <w:rFonts w:cs="Times New Roman" w:ascii="Times New Roman" w:hAnsi="Times New Roman"/>
          <w:sz w:val="28"/>
          <w:szCs w:val="28"/>
        </w:rPr>
        <w:t xml:space="preserve">следует </w:t>
      </w:r>
      <w:r>
        <w:rPr>
          <w:rFonts w:cs="Times New Roman" w:ascii="Times New Roman" w:hAnsi="Times New Roman"/>
          <w:sz w:val="28"/>
          <w:szCs w:val="28"/>
        </w:rPr>
        <w:t xml:space="preserve">снизить дозу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инсулина на 50%; 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сли глюкоза крови </w:t>
      </w:r>
      <w:r>
        <w:rPr>
          <w:rFonts w:cs="Times New Roman" w:ascii="Times New Roman" w:hAnsi="Times New Roman"/>
          <w:sz w:val="28"/>
          <w:szCs w:val="28"/>
        </w:rPr>
        <w:t xml:space="preserve">снизилась до </w:t>
      </w:r>
      <w:r>
        <w:rPr>
          <w:rFonts w:cs="Times New Roman" w:ascii="Times New Roman" w:hAnsi="Times New Roman"/>
          <w:sz w:val="28"/>
          <w:szCs w:val="28"/>
        </w:rPr>
        <w:t xml:space="preserve">8-11 ммоль/л, </w:t>
      </w:r>
      <w:r>
        <w:rPr>
          <w:rFonts w:cs="Times New Roman" w:ascii="Times New Roman" w:hAnsi="Times New Roman"/>
          <w:sz w:val="28"/>
          <w:szCs w:val="28"/>
        </w:rPr>
        <w:t xml:space="preserve">то </w:t>
      </w:r>
      <w:r>
        <w:rPr>
          <w:rFonts w:cs="Times New Roman" w:ascii="Times New Roman" w:hAnsi="Times New Roman"/>
          <w:sz w:val="28"/>
          <w:szCs w:val="28"/>
        </w:rPr>
        <w:t xml:space="preserve">снизить </w:t>
      </w:r>
      <w:r>
        <w:rPr>
          <w:rFonts w:cs="Times New Roman" w:ascii="Times New Roman" w:hAnsi="Times New Roman"/>
          <w:sz w:val="28"/>
          <w:szCs w:val="28"/>
        </w:rPr>
        <w:t xml:space="preserve">поступление </w:t>
      </w:r>
      <w:r>
        <w:rPr>
          <w:rFonts w:cs="Times New Roman" w:ascii="Times New Roman" w:hAnsi="Times New Roman"/>
          <w:sz w:val="28"/>
          <w:szCs w:val="28"/>
        </w:rPr>
        <w:t xml:space="preserve"> инсулина на 25%; 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z w:val="28"/>
          <w:szCs w:val="28"/>
        </w:rPr>
        <w:t xml:space="preserve"> глюкоз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крови &gt;11 ммоль/л, доза инсулина не меняется.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Однако п</w:t>
      </w:r>
      <w:r>
        <w:rPr>
          <w:rFonts w:cs="Times New Roman" w:ascii="Times New Roman" w:hAnsi="Times New Roman"/>
          <w:sz w:val="28"/>
          <w:szCs w:val="28"/>
        </w:rPr>
        <w:t xml:space="preserve">ри снижении глюкозы </w:t>
      </w:r>
      <w:r>
        <w:rPr>
          <w:rFonts w:cs="Times New Roman" w:ascii="Times New Roman" w:hAnsi="Times New Roman"/>
          <w:sz w:val="28"/>
          <w:szCs w:val="28"/>
        </w:rPr>
        <w:t>менее</w:t>
      </w:r>
      <w:r>
        <w:rPr>
          <w:rFonts w:cs="Times New Roman" w:ascii="Times New Roman" w:hAnsi="Times New Roman"/>
          <w:sz w:val="28"/>
          <w:szCs w:val="28"/>
        </w:rPr>
        <w:t xml:space="preserve"> 25%, до 6-7,9 ммоль/л, </w:t>
      </w:r>
      <w:r>
        <w:rPr>
          <w:rFonts w:cs="Times New Roman" w:ascii="Times New Roman" w:hAnsi="Times New Roman"/>
          <w:sz w:val="28"/>
          <w:szCs w:val="28"/>
        </w:rPr>
        <w:t xml:space="preserve">как и в предыдущей схеме, </w:t>
      </w:r>
      <w:r>
        <w:rPr>
          <w:rFonts w:cs="Times New Roman" w:ascii="Times New Roman" w:hAnsi="Times New Roman"/>
          <w:sz w:val="28"/>
          <w:szCs w:val="28"/>
        </w:rPr>
        <w:t xml:space="preserve">следует снизить дозу дотации инсулина на 50%; если глюкоза крови снизилась до 8-10,9 ммоль/л, то </w:t>
      </w:r>
      <w:r>
        <w:rPr>
          <w:rFonts w:cs="Times New Roman" w:ascii="Times New Roman" w:hAnsi="Times New Roman"/>
          <w:sz w:val="28"/>
          <w:szCs w:val="28"/>
        </w:rPr>
        <w:t>нужно</w:t>
      </w:r>
      <w:r>
        <w:rPr>
          <w:rFonts w:cs="Times New Roman" w:ascii="Times New Roman" w:hAnsi="Times New Roman"/>
          <w:sz w:val="28"/>
          <w:szCs w:val="28"/>
        </w:rPr>
        <w:t xml:space="preserve"> увеличить </w:t>
      </w:r>
      <w:r>
        <w:rPr>
          <w:rFonts w:cs="Times New Roman" w:ascii="Times New Roman" w:hAnsi="Times New Roman"/>
          <w:sz w:val="28"/>
          <w:szCs w:val="28"/>
        </w:rPr>
        <w:t xml:space="preserve">дозу </w:t>
      </w:r>
      <w:r>
        <w:rPr>
          <w:rFonts w:cs="Times New Roman" w:ascii="Times New Roman" w:hAnsi="Times New Roman"/>
          <w:sz w:val="28"/>
          <w:szCs w:val="28"/>
        </w:rPr>
        <w:t>поступлени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инсулина на 0,01 Ед/кг/час; при глюкозе крови 11-14,9 ммоль/л, увеличить дозу инсулина на 0,02 Ед/кг/час; </w:t>
      </w:r>
      <w:r>
        <w:rPr>
          <w:rFonts w:cs="Times New Roman" w:ascii="Times New Roman" w:hAnsi="Times New Roman"/>
          <w:sz w:val="28"/>
          <w:szCs w:val="28"/>
        </w:rPr>
        <w:t xml:space="preserve">при глюкозе в крови </w:t>
      </w:r>
      <w:r>
        <w:rPr>
          <w:rFonts w:cs="Times New Roman" w:ascii="Times New Roman" w:hAnsi="Times New Roman"/>
          <w:sz w:val="28"/>
          <w:szCs w:val="28"/>
        </w:rPr>
        <w:t>15-19,9 ммоль/л,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увеличить дозу инсулина на 0,05 Ед/кг/час; </w:t>
      </w:r>
      <w:r>
        <w:rPr>
          <w:rFonts w:cs="Times New Roman" w:ascii="Times New Roman" w:hAnsi="Times New Roman"/>
          <w:sz w:val="28"/>
          <w:szCs w:val="28"/>
        </w:rPr>
        <w:t>и при</w:t>
      </w:r>
      <w:r>
        <w:rPr>
          <w:rFonts w:cs="Times New Roman" w:ascii="Times New Roman" w:hAnsi="Times New Roman"/>
          <w:sz w:val="28"/>
          <w:szCs w:val="28"/>
        </w:rPr>
        <w:t xml:space="preserve"> глюкоз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крови 20 и более ммоль/л, </w:t>
      </w:r>
      <w:r>
        <w:rPr>
          <w:rFonts w:cs="Times New Roman" w:ascii="Times New Roman" w:hAnsi="Times New Roman"/>
          <w:sz w:val="28"/>
          <w:szCs w:val="28"/>
        </w:rPr>
        <w:t>необходимо внутривенно</w:t>
      </w:r>
      <w:r>
        <w:rPr>
          <w:rFonts w:cs="Times New Roman" w:ascii="Times New Roman" w:hAnsi="Times New Roman"/>
          <w:sz w:val="28"/>
          <w:szCs w:val="28"/>
        </w:rPr>
        <w:t xml:space="preserve"> струйно </w:t>
      </w:r>
      <w:r>
        <w:rPr>
          <w:rFonts w:cs="Times New Roman" w:ascii="Times New Roman" w:hAnsi="Times New Roman"/>
          <w:sz w:val="28"/>
          <w:szCs w:val="28"/>
        </w:rPr>
        <w:t xml:space="preserve">вести </w:t>
      </w:r>
      <w:r>
        <w:rPr>
          <w:rFonts w:cs="Times New Roman" w:ascii="Times New Roman" w:hAnsi="Times New Roman"/>
          <w:sz w:val="28"/>
          <w:szCs w:val="28"/>
        </w:rPr>
        <w:t xml:space="preserve">0,1 Ед/кг </w:t>
      </w:r>
      <w:r>
        <w:rPr>
          <w:rFonts w:cs="Times New Roman" w:ascii="Times New Roman" w:hAnsi="Times New Roman"/>
          <w:sz w:val="28"/>
          <w:szCs w:val="28"/>
        </w:rPr>
        <w:t>инсулина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 возникновении необходимости временного прерывания инфузии глюкозы инфузию инсулина также следует прерывать.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тмен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инсулина </w:t>
      </w:r>
      <w:r>
        <w:rPr>
          <w:rFonts w:cs="Times New Roman" w:ascii="Times New Roman" w:hAnsi="Times New Roman"/>
          <w:sz w:val="28"/>
          <w:szCs w:val="28"/>
        </w:rPr>
        <w:t>предусмотрена при</w:t>
      </w:r>
      <w:r>
        <w:rPr>
          <w:rFonts w:cs="Times New Roman" w:ascii="Times New Roman" w:hAnsi="Times New Roman"/>
          <w:sz w:val="28"/>
          <w:szCs w:val="28"/>
        </w:rPr>
        <w:t xml:space="preserve"> глюкоз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крови ≤ 4 ммоль/л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скорости введения </w:t>
      </w:r>
      <w:r>
        <w:rPr>
          <w:rFonts w:cs="Times New Roman" w:ascii="Times New Roman" w:hAnsi="Times New Roman"/>
          <w:sz w:val="28"/>
          <w:szCs w:val="28"/>
        </w:rPr>
        <w:t>инсулина</w:t>
      </w:r>
      <w:r>
        <w:rPr>
          <w:rFonts w:cs="Times New Roman" w:ascii="Times New Roman" w:hAnsi="Times New Roman"/>
          <w:sz w:val="28"/>
          <w:szCs w:val="28"/>
        </w:rPr>
        <w:t xml:space="preserve"> не более 0,02 ед/кг/час.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Лечение инсулином может быть связан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 xml:space="preserve"> с повышенным риском смертности в 28-дневном возрасте и риском гипогликемии.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целью снижения уровня гипергликемии по</w:t>
      </w:r>
      <w:r>
        <w:rPr>
          <w:rFonts w:cs="Times New Roman" w:ascii="Times New Roman" w:hAnsi="Times New Roman"/>
          <w:sz w:val="28"/>
          <w:szCs w:val="28"/>
        </w:rPr>
        <w:t xml:space="preserve"> возможности </w:t>
      </w:r>
      <w:r>
        <w:rPr>
          <w:rFonts w:cs="Times New Roman" w:ascii="Times New Roman" w:hAnsi="Times New Roman"/>
          <w:sz w:val="28"/>
          <w:szCs w:val="28"/>
        </w:rPr>
        <w:t xml:space="preserve">стоит </w:t>
      </w:r>
      <w:r>
        <w:rPr>
          <w:rFonts w:cs="Times New Roman" w:ascii="Times New Roman" w:hAnsi="Times New Roman"/>
          <w:sz w:val="28"/>
          <w:szCs w:val="28"/>
        </w:rPr>
        <w:t xml:space="preserve">снизить воздействие стрессовых факторов (неадекватное проведение ИВЛ, недостаточная аналгоседация во время оперативного вмешательства, судороги и т.д.), отменить  лекарственные препараты, которые могут вызвать гипергликемию (кортикостероиды, теофиллин, кофеин, фенитоин, адреналин), </w:t>
      </w:r>
      <w:r>
        <w:rPr>
          <w:rFonts w:cs="Times New Roman" w:ascii="Times New Roman" w:hAnsi="Times New Roman"/>
          <w:sz w:val="28"/>
          <w:szCs w:val="28"/>
        </w:rPr>
        <w:t>и  также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>сключить манифестацию инфекционного процесса.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"/>
        <w:jc w:val="both"/>
        <w:rPr/>
      </w:pPr>
      <w:bookmarkStart w:id="23" w:name="__RefHeading___Toc19086_3240844383"/>
      <w:bookmarkEnd w:id="23"/>
      <w:r>
        <w:rPr/>
        <w:t>Профилактика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 xml:space="preserve">анней постнатальной профилактики гипергликемии, </w:t>
      </w:r>
      <w:r>
        <w:rPr>
          <w:rFonts w:cs="Times New Roman" w:ascii="Times New Roman" w:hAnsi="Times New Roman"/>
          <w:sz w:val="28"/>
          <w:szCs w:val="28"/>
        </w:rPr>
        <w:t>в первую очередь заключается в</w:t>
      </w:r>
      <w:r>
        <w:rPr>
          <w:rFonts w:cs="Times New Roman" w:ascii="Times New Roman" w:hAnsi="Times New Roman"/>
          <w:sz w:val="28"/>
          <w:szCs w:val="28"/>
        </w:rPr>
        <w:t xml:space="preserve"> более низких физиологичных скоростей инфузии глюкозы, в диапазоне 4-5 мг/кг/минуту у недоношенных детей и всего 3-4 мг/кг/минуту у поздних недоношенных новорожденных. </w:t>
      </w:r>
      <w:r>
        <w:rPr>
          <w:rFonts w:cs="Times New Roman" w:ascii="Times New Roman" w:hAnsi="Times New Roman"/>
          <w:sz w:val="28"/>
          <w:szCs w:val="28"/>
        </w:rPr>
        <w:t>Поэтому при</w:t>
      </w:r>
      <w:r>
        <w:rPr>
          <w:rFonts w:cs="Times New Roman" w:ascii="Times New Roman" w:hAnsi="Times New Roman"/>
          <w:sz w:val="28"/>
          <w:szCs w:val="28"/>
        </w:rPr>
        <w:t xml:space="preserve"> возник</w:t>
      </w:r>
      <w:r>
        <w:rPr>
          <w:rFonts w:cs="Times New Roman" w:ascii="Times New Roman" w:hAnsi="Times New Roman"/>
          <w:sz w:val="28"/>
          <w:szCs w:val="28"/>
        </w:rPr>
        <w:t>новении</w:t>
      </w:r>
      <w:r>
        <w:rPr>
          <w:rFonts w:cs="Times New Roman" w:ascii="Times New Roman" w:hAnsi="Times New Roman"/>
          <w:sz w:val="28"/>
          <w:szCs w:val="28"/>
        </w:rPr>
        <w:t xml:space="preserve"> гипергликемия, сначала </w:t>
      </w:r>
      <w:r>
        <w:rPr>
          <w:rFonts w:cs="Times New Roman" w:ascii="Times New Roman" w:hAnsi="Times New Roman"/>
          <w:sz w:val="28"/>
          <w:szCs w:val="28"/>
        </w:rPr>
        <w:t xml:space="preserve">следует </w:t>
      </w:r>
      <w:r>
        <w:rPr>
          <w:rFonts w:cs="Times New Roman" w:ascii="Times New Roman" w:hAnsi="Times New Roman"/>
          <w:sz w:val="28"/>
          <w:szCs w:val="28"/>
        </w:rPr>
        <w:t xml:space="preserve">уменьшить скорость инфузии глюкозы, поскольку </w:t>
      </w:r>
      <w:r>
        <w:rPr>
          <w:rFonts w:cs="Times New Roman" w:ascii="Times New Roman" w:hAnsi="Times New Roman"/>
          <w:sz w:val="28"/>
          <w:szCs w:val="28"/>
        </w:rPr>
        <w:t>зачастую благодаря этому</w:t>
      </w:r>
      <w:r>
        <w:rPr>
          <w:rFonts w:cs="Times New Roman" w:ascii="Times New Roman" w:hAnsi="Times New Roman"/>
          <w:sz w:val="28"/>
          <w:szCs w:val="28"/>
        </w:rPr>
        <w:t xml:space="preserve"> успешно </w:t>
      </w:r>
      <w:r>
        <w:rPr>
          <w:rFonts w:cs="Times New Roman" w:ascii="Times New Roman" w:hAnsi="Times New Roman"/>
          <w:sz w:val="28"/>
          <w:szCs w:val="28"/>
        </w:rPr>
        <w:t>достигается нормогликемия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особенно когда</w:t>
      </w:r>
      <w:r>
        <w:rPr>
          <w:rFonts w:cs="Times New Roman" w:ascii="Times New Roman" w:hAnsi="Times New Roman"/>
          <w:sz w:val="28"/>
          <w:szCs w:val="28"/>
        </w:rPr>
        <w:t xml:space="preserve"> используются высокие дозы внутривенного введения глюкозы, независимо от того, оправдано это или нет (&gt;8-10 мг/кг/минуту).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Более высокие скорости введения аминокислот вызывают анаболизм, который использует глюкозу для получения энергии, необходимой для поддержки синтеза белка, уменьшения его распада и ускорения накопления белка. Более высокие скорости инфузии аминокислот также вызывают большую секрецию инсулина, что приводит к более низким концентрациям глюкозы и меньшей гипергликемии.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Ограничение общего потребления энергии (углеводов и липидов) при одновременном повышении потребления белка должно помочь предотвратить гипергликемию в дальнейшем.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Раннее энтеральное питание и более быстрое увеличение объемов кормления должны быть предприняты, чтобы способствовать нормализации выработки глюкозы и концентраций глюкозы, а также способствовать выработке кишечного инкретина, который увеличивает секрецию инсулина.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Инфузии катехоламинов и лечение глюкокортикоидами можно ограничить или прекратить, как только </w:t>
      </w:r>
      <w:r>
        <w:rPr>
          <w:rFonts w:cs="Times New Roman" w:ascii="Times New Roman" w:hAnsi="Times New Roman"/>
          <w:sz w:val="28"/>
          <w:szCs w:val="28"/>
        </w:rPr>
        <w:t>будет достигнут необходимый эффект от их применения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Важен хороший общий уход, который снижает гипоксию, ишемию и ацидоз, снижает стрессовые реакции, способствующие гипергликемии. </w:t>
      </w:r>
    </w:p>
    <w:p>
      <w:pPr>
        <w:pStyle w:val="1"/>
        <w:jc w:val="both"/>
        <w:rPr/>
      </w:pPr>
      <w:bookmarkStart w:id="24" w:name="__RefHeading___Toc14613_3782269085"/>
      <w:bookmarkStart w:id="25" w:name="_Toc157798763"/>
      <w:bookmarkEnd w:id="24"/>
      <w:r>
        <w:rPr>
          <w:rFonts w:cs="Times New Roman"/>
        </w:rPr>
        <w:t>ЗАКЛЮЧЕНИЕ.</w:t>
      </w:r>
      <w:bookmarkEnd w:id="25"/>
      <w:r>
        <w:rPr>
          <w:rFonts w:cs="Times New Roman"/>
        </w:rPr>
        <w:t xml:space="preserve"> </w:t>
      </w:r>
    </w:p>
    <w:p>
      <w:pPr>
        <w:pStyle w:val="Normal"/>
        <w:jc w:val="both"/>
        <w:rPr>
          <w:rFonts w:cs="Times New Roman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Неонатальная гипергликемия - серьезное состояние, которое требует диагностики и адекватного лечения, т.к. гипергликемия наряду с гипогликемией стала важным фактором риска смертности и заболеваемости в неонатальном периоде. Особенно актуальна эта проблема стала с увеличением выживаемости новорожденных с очень низкой массой тела при рождении, потому что установлено, что у недоношенных детей, а также у детей с очень низкой и экстремально низкой массой тела неонатальная гипергликемия является одним из самых частых осложнений раннего неонатального периода.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Неонатальная гипергликемия изучена в недостаточной степени, потому что больше внимания уделяется гипогликемии, которая чаще наблюдается в практике и связана как с немедленными, так и с отсроченными осложнениями, приводя к инвалидности и смерти. Однако гипергликемия также может привести к серьезным осложнениям, которые включают осмотическое обезвоживание, внутричерепные кровоизлияния, некротический энтероколит, повышенный риском сепсиса, ретинопатия недоношенных и повышенную восприимчивость к инфекциям. Все это может вносить значительный вклад в неонатальную заболеваемость и смертность. Поэтому гипергликемию следует предотвращать у всех новорожденных.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воевременное выявление гипергликемии, поиск причин её возникновения и методов эффективной терапии являются важной задачей в неонатологии.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"/>
        <w:jc w:val="both"/>
        <w:rPr/>
      </w:pPr>
      <w:bookmarkStart w:id="26" w:name="__RefHeading___Toc14615_3782269085"/>
      <w:bookmarkStart w:id="27" w:name="_Toc157798764"/>
      <w:bookmarkEnd w:id="26"/>
      <w:r>
        <w:rPr>
          <w:rFonts w:cs="Times New Roman"/>
        </w:rPr>
        <w:t>СПИСОК ЛИТЕРАТУРЫ:</w:t>
      </w:r>
      <w:bookmarkEnd w:id="27"/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Fernández-Martínez MDM, Gómez-Llorente JL, Momblán-Cabo J, Martin-González M, Calvo-Bonachera M, Olvera-Porcel M, et al. Monitoring the incidence, duration and distribution of hyperglycaemia in very-low-birth-weight newborns and identifying associated factors. J Perinat Med. 2020.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Goldner Pérez CP, Kushnir A, Saslow J, Quinones Cardona V. Long-Term Developmental Outcomes in Preterm Neonates Exposed to Hyperglycemia. Pediatrics. 2019;144(2 MettingAbstract):656.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Hyperglycemia and Glucose Variability Are Associated with Worse Brain Function and Seizures in Neonatal Encephalopathy: A Prospective Cohort Study / Pinchefsky EF, Hahn CD, Kamino D [et al.] // J Pediatr. —2019. —Vol. 209.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Monitoring the incidence, duration and distribution of hyperglycaemia in very-low-birth-weight newborns and identifying associated factors / Fernández- Martínez MDM, Gómez-Llorente JL, Momblán-Cabo J [et al.] // J Perinat Med. — 2020.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Prevalence, risk factors, and outcome of hospitalization of neonatal hyperglycemia at a Nigerian health facility/ EO Adeniji, BP Kuti, Jerome B E Elusiyan // Nigerian Journal of Clinical Practice. —2020. —Vol. 23, Iss. 1. —P. 71-78.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Zamir I. Hyperglycemia, nutrition and health outcomes in preterm infants/ ItayZamir // Doctoral thesis. Umeå University Department of Clinical Sciences Pediatric. - 2020.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Литвицкий, П. Ф. Расстройства углеводного обмена у детей: гипогликемия, гипергликемия, гликогеноз, агликогеноз, гексоземия. Вопросы современной педиатрии / П. Ф. Литвицкий, Л. Д. Мальцева // Вопросы современной педиатрии. – 2017. - N 16 (5). - С. 362-39.6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Неонатология Т. 2 / под ред. Т. Л. Гомеллы, М. Д. Каннингама, Ф. Г. Эяля; пер. с англ. под ред. д-ра мед. наук Д. Н. Дегтярева. // – Эл. изд. – М.: Бином. Лаборатория знаний – 2020.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Оптимизация лечения гипергликемии у недоношенных детей / О.Ю. Маркова, О.В. Ионов, А.В. Болмасова[и др.] // Неонатология: новости, мнения, обучение. - 2019. - Т. 7, N 1. - С. 7-11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Руководство по перинатологии / Д. О. Иванов, Е. В. Аврелькина, Ю. С. Александрович [и др.] – М.: ГЭОТАР-Медиа, 2019. – С. 994-1019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Шабалов Н.П. Неонатология: Учебное пособие в 2 т. / Н.П. Шабалов. – Т.2 – 7-е изд., испр. и доп. – Москва: ГЭОТАР-Медиа, 2023</w:t>
      </w:r>
    </w:p>
    <w:sectPr>
      <w:footerReference w:type="default" r:id="rId2"/>
      <w:type w:val="nextPage"/>
      <w:pgSz w:w="11906" w:h="16838"/>
      <w:pgMar w:left="1418" w:right="566" w:gutter="0" w:header="0" w:top="1134" w:footer="708" w:bottom="1276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64279313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</w:p>
    </w:sdtContent>
  </w:sdt>
  <w:p>
    <w:pPr>
      <w:pStyle w:val="Style24"/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cd166b"/>
    <w:pPr>
      <w:keepNext w:val="true"/>
      <w:keepLines/>
      <w:spacing w:before="480" w:after="0"/>
      <w:outlineLvl w:val="0"/>
    </w:pPr>
    <w:rPr>
      <w:rFonts w:ascii="Times New Roman" w:hAnsi="Times New Roman" w:eastAsia="" w:cs="" w:cstheme="majorBidi" w:eastAsiaTheme="majorEastAsia"/>
      <w:b w:val="false"/>
      <w:bCs/>
      <w:color w:val="2F5496" w:themeColor="accent1" w:themeShade="bf"/>
      <w:sz w:val="32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cd166b"/>
    <w:pPr>
      <w:keepNext w:val="true"/>
      <w:keepLines/>
      <w:spacing w:before="200" w:after="0"/>
      <w:outlineLvl w:val="1"/>
    </w:pPr>
    <w:rPr>
      <w:rFonts w:ascii="Times New Roman" w:hAnsi="Times New Roman" w:eastAsia="" w:cs="" w:cstheme="majorBidi" w:eastAsiaTheme="majorEastAsia"/>
      <w:b w:val="false"/>
      <w:bCs/>
      <w:i/>
      <w:color w:val="4472C4" w:themeColor="accent1"/>
      <w:sz w:val="30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cd166b"/>
    <w:pPr>
      <w:keepNext w:val="true"/>
      <w:keepLines/>
      <w:spacing w:before="200" w:after="0"/>
      <w:outlineLvl w:val="2"/>
    </w:pPr>
    <w:rPr>
      <w:rFonts w:ascii="Times New Roman" w:hAnsi="Times New Roman" w:eastAsia="" w:cs="" w:cstheme="majorBidi" w:eastAsiaTheme="majorEastAsia"/>
      <w:b w:val="false"/>
      <w:bCs/>
      <w:color w:val="4472C4" w:themeColor="accent1"/>
      <w:sz w:val="28"/>
    </w:rPr>
  </w:style>
  <w:style w:type="paragraph" w:styleId="4">
    <w:name w:val="Heading 4"/>
    <w:basedOn w:val="Style17"/>
    <w:next w:val="Style18"/>
    <w:qFormat/>
    <w:pPr>
      <w:tabs>
        <w:tab w:val="clear" w:pos="708"/>
        <w:tab w:val="left" w:pos="0" w:leader="none"/>
      </w:tabs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0">
    <w:name w:val="Интернет-ссылка"/>
    <w:basedOn w:val="DefaultParagraphFont"/>
    <w:uiPriority w:val="99"/>
    <w:unhideWhenUsed/>
    <w:rsid w:val="00cd166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24ea4"/>
    <w:rPr>
      <w:color w:val="605E5C"/>
      <w:shd w:fill="E1DFDD" w:val="clear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ce7867"/>
    <w:rPr/>
  </w:style>
  <w:style w:type="character" w:styleId="Style12" w:customStyle="1">
    <w:name w:val="Нижний колонтитул Знак"/>
    <w:basedOn w:val="DefaultParagraphFont"/>
    <w:uiPriority w:val="99"/>
    <w:qFormat/>
    <w:rsid w:val="00ce7867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c2776"/>
    <w:rPr>
      <w:rFonts w:ascii="Tahoma" w:hAnsi="Tahoma" w:cs="Tahoma"/>
      <w:sz w:val="16"/>
      <w:szCs w:val="16"/>
    </w:rPr>
  </w:style>
  <w:style w:type="character" w:styleId="Style14" w:customStyle="1">
    <w:name w:val="Символ нумерации"/>
    <w:qFormat/>
    <w:rPr/>
  </w:style>
  <w:style w:type="character" w:styleId="11" w:customStyle="1">
    <w:name w:val="Заголовок 1 Знак"/>
    <w:basedOn w:val="DefaultParagraphFont"/>
    <w:uiPriority w:val="9"/>
    <w:qFormat/>
    <w:rsid w:val="00cd166b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cd166b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cd166b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Style15">
    <w:name w:val="Ссылка указателя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87db2"/>
    <w:pPr>
      <w:spacing w:before="0" w:after="160"/>
      <w:ind w:left="720" w:hanging="0"/>
      <w:contextualSpacing/>
    </w:pPr>
    <w:rPr/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ce78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2"/>
    <w:uiPriority w:val="99"/>
    <w:unhideWhenUsed/>
    <w:rsid w:val="00ce78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c27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Index Heading"/>
    <w:basedOn w:val="Style17"/>
    <w:pPr/>
    <w:rPr/>
  </w:style>
  <w:style w:type="paragraph" w:styleId="Style26">
    <w:name w:val="TOC Heading"/>
    <w:basedOn w:val="1"/>
    <w:next w:val="Normal"/>
    <w:uiPriority w:val="39"/>
    <w:semiHidden/>
    <w:unhideWhenUsed/>
    <w:qFormat/>
    <w:rsid w:val="00cd166b"/>
    <w:pPr>
      <w:suppressAutoHyphens w:val="false"/>
      <w:spacing w:lineRule="auto" w:line="276"/>
      <w:outlineLvl w:val="9"/>
    </w:pPr>
    <w:rPr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cd166b"/>
    <w:pPr>
      <w:spacing w:before="0" w:after="100"/>
    </w:pPr>
    <w:rPr/>
  </w:style>
  <w:style w:type="paragraph" w:styleId="22">
    <w:name w:val="TOC 2"/>
    <w:basedOn w:val="Normal"/>
    <w:next w:val="Normal"/>
    <w:autoRedefine/>
    <w:uiPriority w:val="39"/>
    <w:unhideWhenUsed/>
    <w:rsid w:val="00633ef0"/>
    <w:pPr>
      <w:spacing w:before="0" w:after="100"/>
      <w:ind w:left="220" w:hanging="0"/>
    </w:pPr>
    <w:rPr/>
  </w:style>
  <w:style w:type="paragraph" w:styleId="32">
    <w:name w:val="TOC 3"/>
    <w:basedOn w:val="Normal"/>
    <w:next w:val="Normal"/>
    <w:autoRedefine/>
    <w:uiPriority w:val="39"/>
    <w:unhideWhenUsed/>
    <w:rsid w:val="008c2ae2"/>
    <w:pPr>
      <w:spacing w:before="0" w:after="100"/>
      <w:ind w:left="4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uiPriority w:val="59"/>
    <w:rsid w:val="00e35b4a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3"/>
    <w:uiPriority w:val="39"/>
    <w:rsid w:val="00e35b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C877-482A-458A-A2D3-7529D7B4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Application>LibreOffice/7.3.2.2$Windows_x86 LibreOffice_project/49f2b1bff42cfccbd8f788c8dc32c1c309559be0</Application>
  <AppVersion>15.0000</AppVersion>
  <Pages>21</Pages>
  <Words>3517</Words>
  <Characters>24682</Characters>
  <CharactersWithSpaces>28111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2023-10-02T09:46:00Z</dcterms:created>
  <dc:creator>Евгения Хребтова</dc:creator>
  <dc:description/>
  <dc:language>ru-RU</dc:language>
  <cp:lastModifiedBy/>
  <dcterms:modified xsi:type="dcterms:W3CDTF">2024-03-23T19:17:24Z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