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4E" w:rsidRPr="00D42843" w:rsidRDefault="00D25042" w:rsidP="00841505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  <w:r w:rsidR="00D73C4E" w:rsidRPr="00D42843">
        <w:rPr>
          <w:rFonts w:ascii="Times New Roman" w:hAnsi="Times New Roman" w:cs="Times New Roman"/>
          <w:sz w:val="28"/>
          <w:szCs w:val="28"/>
        </w:rPr>
        <w:t>.</w:t>
      </w:r>
    </w:p>
    <w:p w:rsidR="00D73C4E" w:rsidRPr="00D42843" w:rsidRDefault="00D73C4E" w:rsidP="00841505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D73C4E" w:rsidRPr="00D42843" w:rsidRDefault="00D73C4E" w:rsidP="00841505">
      <w:pPr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Зав. кафедр</w:t>
      </w:r>
      <w:r w:rsidR="005A1A3E" w:rsidRPr="00D42843">
        <w:rPr>
          <w:rFonts w:ascii="Times New Roman" w:hAnsi="Times New Roman" w:cs="Times New Roman"/>
          <w:sz w:val="28"/>
          <w:szCs w:val="28"/>
        </w:rPr>
        <w:t>ой</w:t>
      </w:r>
      <w:r w:rsidRPr="00D428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, проф. Таранушенко Т.Е.</w:t>
      </w:r>
    </w:p>
    <w:p w:rsidR="00D73C4E" w:rsidRPr="00D42843" w:rsidRDefault="00D73C4E" w:rsidP="00841505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Проверил</w:t>
      </w:r>
      <w:r w:rsidR="00AE4C23" w:rsidRPr="00D42843">
        <w:rPr>
          <w:rFonts w:ascii="Times New Roman" w:hAnsi="Times New Roman" w:cs="Times New Roman"/>
          <w:sz w:val="28"/>
          <w:szCs w:val="28"/>
        </w:rPr>
        <w:t>а</w:t>
      </w:r>
      <w:r w:rsidRPr="00D42843">
        <w:rPr>
          <w:rFonts w:ascii="Times New Roman" w:hAnsi="Times New Roman" w:cs="Times New Roman"/>
          <w:sz w:val="28"/>
          <w:szCs w:val="28"/>
        </w:rPr>
        <w:t xml:space="preserve">: к.м.н., </w:t>
      </w:r>
      <w:proofErr w:type="spellStart"/>
      <w:r w:rsidR="00516805" w:rsidRPr="00D42843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="00516805" w:rsidRPr="00D42843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D73C4E" w:rsidRPr="00D42843" w:rsidRDefault="00D73C4E" w:rsidP="00841505">
      <w:pPr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shd w:val="clear" w:color="auto" w:fill="FFFFFF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 w:rsidRPr="00D42843">
        <w:rPr>
          <w:rFonts w:ascii="Times New Roman" w:hAnsi="Times New Roman" w:cs="Times New Roman"/>
          <w:sz w:val="44"/>
          <w:szCs w:val="44"/>
        </w:rPr>
        <w:t>Реферат</w:t>
      </w:r>
    </w:p>
    <w:p w:rsidR="004E30DA" w:rsidRPr="00D42843" w:rsidRDefault="004E30DA" w:rsidP="00841505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На тему: «Поражение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желудочно-кишечного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4E" w:rsidRPr="00D42843" w:rsidRDefault="004E30DA" w:rsidP="00841505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тракта при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  <w:r w:rsidR="00D73C4E" w:rsidRPr="00D42843">
        <w:rPr>
          <w:rFonts w:ascii="Times New Roman" w:hAnsi="Times New Roman" w:cs="Times New Roman"/>
          <w:sz w:val="28"/>
          <w:szCs w:val="28"/>
        </w:rPr>
        <w:t>»</w:t>
      </w:r>
    </w:p>
    <w:p w:rsidR="00D73C4E" w:rsidRPr="00D42843" w:rsidRDefault="00D73C4E" w:rsidP="00841505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D42843" w:rsidRDefault="00EE754F" w:rsidP="00841505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D42843" w:rsidRDefault="00EE754F" w:rsidP="00841505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D42843" w:rsidRDefault="00EE754F" w:rsidP="00841505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890C04" w:rsidRPr="00D42843" w:rsidRDefault="00890C04" w:rsidP="00841505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Выполнил</w:t>
      </w:r>
      <w:r w:rsidR="001A7B5B" w:rsidRPr="00D42843">
        <w:rPr>
          <w:rFonts w:ascii="Times New Roman" w:hAnsi="Times New Roman" w:cs="Times New Roman"/>
          <w:sz w:val="28"/>
          <w:szCs w:val="28"/>
        </w:rPr>
        <w:t>а</w:t>
      </w:r>
      <w:r w:rsidRPr="00D42843">
        <w:rPr>
          <w:rFonts w:ascii="Times New Roman" w:hAnsi="Times New Roman" w:cs="Times New Roman"/>
          <w:sz w:val="28"/>
          <w:szCs w:val="28"/>
        </w:rPr>
        <w:t>: врач-</w:t>
      </w:r>
      <w:r w:rsidR="00DB02D4" w:rsidRPr="00D42843">
        <w:rPr>
          <w:rFonts w:ascii="Times New Roman" w:hAnsi="Times New Roman" w:cs="Times New Roman"/>
          <w:sz w:val="28"/>
          <w:szCs w:val="28"/>
        </w:rPr>
        <w:t>ординатор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="00516805" w:rsidRPr="00D42843">
        <w:rPr>
          <w:rFonts w:ascii="Times New Roman" w:hAnsi="Times New Roman" w:cs="Times New Roman"/>
          <w:sz w:val="28"/>
          <w:szCs w:val="28"/>
        </w:rPr>
        <w:t>Макарова И.А.</w:t>
      </w:r>
    </w:p>
    <w:p w:rsidR="00D73C4E" w:rsidRPr="00D42843" w:rsidRDefault="00D73C4E" w:rsidP="00841505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D42843" w:rsidRDefault="00EE754F" w:rsidP="00841505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42843" w:rsidRDefault="00D73C4E" w:rsidP="00841505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F279CE" w:rsidRPr="00D42843" w:rsidRDefault="00D73C4E" w:rsidP="00841505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г. Красноярск, 20</w:t>
      </w:r>
      <w:r w:rsidR="004E30DA" w:rsidRPr="00D42843">
        <w:rPr>
          <w:rFonts w:ascii="Times New Roman" w:hAnsi="Times New Roman" w:cs="Times New Roman"/>
          <w:sz w:val="28"/>
          <w:szCs w:val="28"/>
        </w:rPr>
        <w:t>22</w:t>
      </w:r>
      <w:r w:rsidRPr="00D42843">
        <w:rPr>
          <w:rFonts w:ascii="Times New Roman" w:hAnsi="Times New Roman" w:cs="Times New Roman"/>
          <w:sz w:val="28"/>
          <w:szCs w:val="28"/>
        </w:rPr>
        <w:t xml:space="preserve"> год</w:t>
      </w:r>
      <w:r w:rsidR="00F279CE" w:rsidRPr="00D42843">
        <w:rPr>
          <w:rFonts w:ascii="Times New Roman" w:hAnsi="Times New Roman" w:cs="Times New Roman"/>
          <w:sz w:val="28"/>
          <w:szCs w:val="28"/>
        </w:rPr>
        <w:br w:type="page"/>
      </w:r>
    </w:p>
    <w:p w:rsidR="00EE754F" w:rsidRPr="00D42843" w:rsidRDefault="00EE754F" w:rsidP="00841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="00516805" w:rsidRPr="00D42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A17" w:rsidRPr="00D42843" w:rsidRDefault="00253A17" w:rsidP="00841505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</w:p>
    <w:p w:rsidR="00253A17" w:rsidRPr="00D42843" w:rsidRDefault="00253A17" w:rsidP="00841505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53A17" w:rsidRPr="00D42843" w:rsidRDefault="00253A17" w:rsidP="00841505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253A17" w:rsidRPr="00D42843" w:rsidRDefault="00B205B2" w:rsidP="00841505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:rsidR="00253A17" w:rsidRPr="00D42843" w:rsidRDefault="00253A17" w:rsidP="00841505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</w:p>
    <w:p w:rsidR="00253A17" w:rsidRDefault="00D42843" w:rsidP="00841505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Лабораторные диагностические исследования</w:t>
      </w:r>
    </w:p>
    <w:p w:rsidR="00D42843" w:rsidRPr="00D42843" w:rsidRDefault="00D42843" w:rsidP="00841505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Инструментальные методы исследования</w:t>
      </w:r>
    </w:p>
    <w:p w:rsidR="00253A17" w:rsidRPr="00D42843" w:rsidRDefault="00253A17" w:rsidP="00D42843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253A17" w:rsidRPr="00D42843" w:rsidRDefault="00253A17" w:rsidP="00841505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3A17" w:rsidRPr="00D42843" w:rsidRDefault="00253A17" w:rsidP="00841505">
      <w:pPr>
        <w:pStyle w:val="a3"/>
        <w:numPr>
          <w:ilvl w:val="0"/>
          <w:numId w:val="10"/>
        </w:numPr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73187E" w:rsidRPr="00D42843" w:rsidRDefault="0073187E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06ED7" w:rsidRPr="00D42843" w:rsidRDefault="00106ED7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br w:type="page"/>
      </w: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p w:rsidR="00C31771" w:rsidRPr="00D42843" w:rsidRDefault="00C31771" w:rsidP="00841505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 xml:space="preserve">ВРВП – </w:t>
      </w: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варикозно</w:t>
      </w:r>
      <w:proofErr w:type="spellEnd"/>
      <w:r w:rsidRPr="00D42843">
        <w:rPr>
          <w:rFonts w:ascii="Times New Roman" w:hAnsi="Times New Roman" w:cs="Times New Roman"/>
          <w:b/>
          <w:sz w:val="28"/>
          <w:szCs w:val="28"/>
        </w:rPr>
        <w:t xml:space="preserve"> расширенные вены пищевода</w:t>
      </w:r>
      <w:r w:rsidRPr="00D42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771" w:rsidRPr="00D42843" w:rsidRDefault="00C31771" w:rsidP="00841505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ЖКБ – желчнокаменная болезнь</w:t>
      </w:r>
      <w:r w:rsidRPr="00D42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B60" w:rsidRPr="00D42843" w:rsidRDefault="00C31771" w:rsidP="00C31771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ЛС – лекарственные средства</w:t>
      </w:r>
      <w:r w:rsidRPr="00D42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 xml:space="preserve">МВ – </w:t>
      </w: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муковисцидоз</w:t>
      </w:r>
      <w:proofErr w:type="spellEnd"/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МРТ – магнитно-резонансная томография</w:t>
      </w:r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ПБС – псевдо-</w:t>
      </w: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Барттер</w:t>
      </w:r>
      <w:proofErr w:type="spellEnd"/>
      <w:r w:rsidRPr="00D42843">
        <w:rPr>
          <w:rFonts w:ascii="Times New Roman" w:hAnsi="Times New Roman" w:cs="Times New Roman"/>
          <w:b/>
          <w:sz w:val="28"/>
          <w:szCs w:val="28"/>
        </w:rPr>
        <w:t xml:space="preserve"> синдром (синдром псевдо-</w:t>
      </w: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Барттера</w:t>
      </w:r>
      <w:proofErr w:type="spellEnd"/>
      <w:r w:rsidRPr="00D42843">
        <w:rPr>
          <w:rFonts w:ascii="Times New Roman" w:hAnsi="Times New Roman" w:cs="Times New Roman"/>
          <w:b/>
          <w:sz w:val="28"/>
          <w:szCs w:val="28"/>
        </w:rPr>
        <w:t>)</w:t>
      </w:r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 xml:space="preserve">СДИО – синдром дистальной </w:t>
      </w: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интестинальной</w:t>
      </w:r>
      <w:proofErr w:type="spellEnd"/>
      <w:r w:rsidRPr="00D42843">
        <w:rPr>
          <w:rFonts w:ascii="Times New Roman" w:hAnsi="Times New Roman" w:cs="Times New Roman"/>
          <w:b/>
          <w:sz w:val="28"/>
          <w:szCs w:val="28"/>
        </w:rPr>
        <w:t xml:space="preserve"> обструкции</w:t>
      </w:r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 xml:space="preserve">УДХК – </w:t>
      </w: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урсодезоксихолевая</w:t>
      </w:r>
      <w:proofErr w:type="spellEnd"/>
      <w:r w:rsidRPr="00D42843">
        <w:rPr>
          <w:rFonts w:ascii="Times New Roman" w:hAnsi="Times New Roman" w:cs="Times New Roman"/>
          <w:b/>
          <w:sz w:val="28"/>
          <w:szCs w:val="28"/>
        </w:rPr>
        <w:t xml:space="preserve"> кислота</w:t>
      </w:r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 xml:space="preserve">PI – </w:t>
      </w:r>
      <w:proofErr w:type="gramStart"/>
      <w:r w:rsidRPr="00D42843">
        <w:rPr>
          <w:rFonts w:ascii="Times New Roman" w:hAnsi="Times New Roman" w:cs="Times New Roman"/>
          <w:b/>
          <w:sz w:val="28"/>
          <w:szCs w:val="28"/>
        </w:rPr>
        <w:t>классический</w:t>
      </w:r>
      <w:proofErr w:type="gramEnd"/>
      <w:r w:rsidRPr="00D428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b/>
          <w:sz w:val="28"/>
          <w:szCs w:val="28"/>
        </w:rPr>
        <w:t xml:space="preserve"> с абсолютной панкреатической недостаточностью </w:t>
      </w:r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 xml:space="preserve">PS – </w:t>
      </w:r>
      <w:proofErr w:type="gramStart"/>
      <w:r w:rsidRPr="00D42843">
        <w:rPr>
          <w:rFonts w:ascii="Times New Roman" w:hAnsi="Times New Roman" w:cs="Times New Roman"/>
          <w:b/>
          <w:sz w:val="28"/>
          <w:szCs w:val="28"/>
        </w:rPr>
        <w:t>классический</w:t>
      </w:r>
      <w:proofErr w:type="gramEnd"/>
      <w:r w:rsidRPr="00D428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b/>
          <w:sz w:val="28"/>
          <w:szCs w:val="28"/>
        </w:rPr>
        <w:t xml:space="preserve"> с ненарушенной функцией поджелудочной железы</w:t>
      </w:r>
    </w:p>
    <w:p w:rsidR="00DC79DA" w:rsidRPr="00D42843" w:rsidRDefault="00DC79DA" w:rsidP="00841505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17" w:rsidRPr="00D42843" w:rsidRDefault="00253A1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60" w:rsidRPr="00D42843" w:rsidRDefault="009A5B60" w:rsidP="00D42843">
      <w:pPr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516805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8632A" w:rsidRPr="00D42843" w:rsidRDefault="0008632A" w:rsidP="00841505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Кистозный фиброз (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, МВ) — аутосомно-рецессивное моногенное наследственное заболевание, характеризующееся поражением всех экзокринных желёз, а также жизненно важных органов и систем</w:t>
      </w:r>
    </w:p>
    <w:p w:rsidR="0008632A" w:rsidRPr="00D42843" w:rsidRDefault="0008632A" w:rsidP="00841505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в патологический процесс часто вовлекаются поджелудочная железа, кишечник,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гепатобилиарная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система. Экзокринная функция поджелудочной железы нарушена у 85–95% больных. Исключение составляет группа пациентов, имеющих определенные «легкие» варианты CFTR с остаточной функцией, при которых функция поджелудочной железы остается неизменной. Пациенты, с недостаточностью поджелудочной железы, имеют нарушения всасывания жиров, жирорастворимых витаминов и белка. Секрет в двенадцатиперстной кишке аномально вязкие и показывает отсутствие или уменьшение активности фермента и снижение концентрации бикарбоната; трипсин и химотрипсин в стуле отсутствуют или снижены. Эндокринная дисфункция поджелудочной железы возникает реже, но нарушение толерантности к глюкозе или сахарный диабет присутствует примерно у 2% детей, 20% подростков и до 50% взрослого населения.</w:t>
      </w:r>
    </w:p>
    <w:p w:rsidR="0008632A" w:rsidRPr="00D42843" w:rsidRDefault="0008632A" w:rsidP="00841505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Вовлечение желчных протоков с застоем желчи и желчной тампонадой приводит к бессимптомному фиброзу печени у 30% пациентов. У 3–4% пациентов заболевание прогрессирует в необратимый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многоузловой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цирроз с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варикозом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 портальной гипертензией, как правило, к возрасту 12 лет. Гепатоцеллюлярная недостаточность является редким и поздним осложнением. Существует повышенная заболеваемость желчнокаменной болезнью, которая</w:t>
      </w:r>
      <w:r w:rsidRPr="00D42843">
        <w:rPr>
          <w:rFonts w:ascii="Times New Roman" w:hAnsi="Times New Roman" w:cs="Times New Roman"/>
          <w:sz w:val="28"/>
          <w:szCs w:val="28"/>
        </w:rPr>
        <w:t xml:space="preserve"> обычно протекает бессимптомно.</w:t>
      </w:r>
    </w:p>
    <w:p w:rsidR="0008632A" w:rsidRPr="00D42843" w:rsidRDefault="0008632A" w:rsidP="00841505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Аномально вязкий кишечный секрет может привести к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мекониальной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непроходимости у новорожденных (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мекониальный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илеус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) и иногда к синдрому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мекониевой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пробки. У детей старшего возраста и взрослых также могут быть симптомы хронического запора и непроходимости кишечника.</w:t>
      </w:r>
    </w:p>
    <w:p w:rsidR="0008632A" w:rsidRPr="00D42843" w:rsidRDefault="0008632A" w:rsidP="00841505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516805" w:rsidRPr="00D42843" w:rsidRDefault="0008632A" w:rsidP="00841505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lastRenderedPageBreak/>
        <w:t xml:space="preserve">Другие проблемы со стороны желудочно-кишечного тракта включают инвагинацию кишечника,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странгуляционную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кишечную непроходимость, ректальный пролапс,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периаппендикулярный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абсцесс, панкреатит, повышенный риск развития рака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гепатобилиарного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 желудочно-кишечного трактов (включая рак поджелудочной железы),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гастро-эзофагеальный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рефлюкс, эзофагит и повышенную частоту болезни Крона 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целиакии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.</w:t>
      </w:r>
    </w:p>
    <w:p w:rsidR="00516805" w:rsidRPr="00D42843" w:rsidRDefault="009A5CFD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9A5CFD" w:rsidRPr="00D42843" w:rsidRDefault="009A5CFD" w:rsidP="00841505">
      <w:pPr>
        <w:ind w:firstLine="851"/>
        <w:jc w:val="left"/>
        <w:rPr>
          <w:rFonts w:ascii="Times New Roman" w:hAnsi="Times New Roman" w:cs="Times New Roman"/>
          <w:b/>
          <w:sz w:val="36"/>
          <w:szCs w:val="28"/>
        </w:rPr>
      </w:pPr>
      <w:r w:rsidRPr="00D42843">
        <w:rPr>
          <w:rFonts w:ascii="Times New Roman" w:hAnsi="Times New Roman" w:cs="Times New Roman"/>
          <w:sz w:val="28"/>
        </w:rPr>
        <w:t xml:space="preserve">Ген CFTR (МВТР - трансмембранный регулятор проводимости </w:t>
      </w:r>
      <w:proofErr w:type="spellStart"/>
      <w:r w:rsidRPr="00D42843">
        <w:rPr>
          <w:rFonts w:ascii="Times New Roman" w:hAnsi="Times New Roman" w:cs="Times New Roman"/>
          <w:sz w:val="28"/>
        </w:rPr>
        <w:t>муковисцидоза</w:t>
      </w:r>
      <w:proofErr w:type="spellEnd"/>
      <w:r w:rsidRPr="00D42843">
        <w:rPr>
          <w:rFonts w:ascii="Times New Roman" w:hAnsi="Times New Roman" w:cs="Times New Roman"/>
          <w:sz w:val="28"/>
        </w:rPr>
        <w:t xml:space="preserve">) был идентифицирован в 1989 г. Ген расположен в середине длинного плеча 7 </w:t>
      </w:r>
      <w:proofErr w:type="spellStart"/>
      <w:r w:rsidRPr="00D42843">
        <w:rPr>
          <w:rFonts w:ascii="Times New Roman" w:hAnsi="Times New Roman" w:cs="Times New Roman"/>
          <w:sz w:val="28"/>
        </w:rPr>
        <w:t>аутосомы</w:t>
      </w:r>
      <w:proofErr w:type="spellEnd"/>
      <w:r w:rsidRPr="00D42843">
        <w:rPr>
          <w:rFonts w:ascii="Times New Roman" w:hAnsi="Times New Roman" w:cs="Times New Roman"/>
          <w:sz w:val="28"/>
        </w:rPr>
        <w:t xml:space="preserve">, содержит 27 </w:t>
      </w:r>
      <w:proofErr w:type="spellStart"/>
      <w:r w:rsidRPr="00D42843">
        <w:rPr>
          <w:rFonts w:ascii="Times New Roman" w:hAnsi="Times New Roman" w:cs="Times New Roman"/>
          <w:sz w:val="28"/>
        </w:rPr>
        <w:t>экзонов</w:t>
      </w:r>
      <w:proofErr w:type="spellEnd"/>
      <w:r w:rsidRPr="00D42843">
        <w:rPr>
          <w:rFonts w:ascii="Times New Roman" w:hAnsi="Times New Roman" w:cs="Times New Roman"/>
          <w:sz w:val="28"/>
        </w:rPr>
        <w:t xml:space="preserve"> и охватывает 250 000 пар нуклеотидов. Он контролирует структуру и функцию одноимённого белка. Последние исследования показали, что МВТР является собственно хлоридным каналом. Белок МВТР локализуется в апикальной части мембраны эпителиальных клеток, выстилающих выводные протоки желез внешней секреции (потовых, слюнных, желез в бронхах, поджелудочной железе, кишечнике, урогенитальном тракте), он регулирует транспорт электролитов (главным образом хлора) между этими клетками и межклеточной жидкостью. </w:t>
      </w:r>
      <w:proofErr w:type="gramStart"/>
      <w:r w:rsidRPr="00D42843">
        <w:rPr>
          <w:rFonts w:ascii="Times New Roman" w:hAnsi="Times New Roman" w:cs="Times New Roman"/>
          <w:sz w:val="28"/>
        </w:rPr>
        <w:t>В базе HGMD (</w:t>
      </w:r>
      <w:proofErr w:type="spellStart"/>
      <w:r w:rsidRPr="00D42843">
        <w:rPr>
          <w:rFonts w:ascii="Times New Roman" w:hAnsi="Times New Roman" w:cs="Times New Roman"/>
          <w:sz w:val="28"/>
        </w:rPr>
        <w:t>The</w:t>
      </w:r>
      <w:proofErr w:type="spellEnd"/>
      <w:r w:rsidRPr="00D428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</w:rPr>
        <w:t>Human</w:t>
      </w:r>
      <w:proofErr w:type="spellEnd"/>
      <w:r w:rsidRPr="00D428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</w:rPr>
        <w:t>Gene</w:t>
      </w:r>
      <w:proofErr w:type="spellEnd"/>
      <w:r w:rsidRPr="00D428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</w:rPr>
        <w:t>Mutation</w:t>
      </w:r>
      <w:proofErr w:type="spellEnd"/>
      <w:r w:rsidRPr="00D428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</w:rPr>
        <w:t>Database</w:t>
      </w:r>
      <w:proofErr w:type="spellEnd"/>
      <w:r w:rsidRPr="00D42843">
        <w:rPr>
          <w:rFonts w:ascii="Times New Roman" w:hAnsi="Times New Roman" w:cs="Times New Roman"/>
          <w:sz w:val="28"/>
        </w:rPr>
        <w:t>; https://my.qiagendigitalinsights.com/bbp/view/hgmd/pro/all.php) описано около 2 000 мутаций гена - CFTR), ответственных за развитие симптомов МВ.</w:t>
      </w:r>
      <w:proofErr w:type="gramEnd"/>
      <w:r w:rsidRPr="00D42843">
        <w:rPr>
          <w:rFonts w:ascii="Times New Roman" w:hAnsi="Times New Roman" w:cs="Times New Roman"/>
          <w:sz w:val="28"/>
        </w:rPr>
        <w:t xml:space="preserve"> По состоянию на 31 июля 2020 года на вебсайте международного проекта CFTR2 (https://cftr2.org) представлено 360 патогенных вариантов нуклеотидной последовательности гена CFTR. Они препятствуют синтезу белка CFTR, его транспорту к апикальной мембране клетки или нарушают его функцию в качестве канала анионов хлора. В зависимости от влияния на функцию белка CFTR все варианты нуклеотидной последовательности гена CFTR подразделяют на 7 основных классов [3,4]</w:t>
      </w:r>
    </w:p>
    <w:p w:rsidR="00516805" w:rsidRPr="00D42843" w:rsidRDefault="00516805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516805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516805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516805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0555C" w:rsidRPr="00D42843" w:rsidRDefault="0000555C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0555C" w:rsidRPr="00D42843" w:rsidRDefault="009A5CFD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Эпидемиология</w:t>
      </w:r>
    </w:p>
    <w:p w:rsidR="009A5CFD" w:rsidRPr="00D42843" w:rsidRDefault="009A5CFD" w:rsidP="00841505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Частота МВ колеблется среди представителей европеоидов от 1:600 до 1:17000 новорожденных. В РФ частота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муковисцидоза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составляет по данным ФГБНУ «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Медикогенетический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научный центр им. академика Н.П. Бочкова» 1:9000 новорожденных</w:t>
      </w:r>
      <w:r w:rsidRPr="00D42843">
        <w:rPr>
          <w:rFonts w:ascii="Times New Roman" w:hAnsi="Times New Roman" w:cs="Times New Roman"/>
          <w:sz w:val="28"/>
          <w:szCs w:val="28"/>
        </w:rPr>
        <w:t>.</w:t>
      </w:r>
    </w:p>
    <w:p w:rsidR="009A5CFD" w:rsidRPr="00D42843" w:rsidRDefault="009A5CFD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9A5CFD" w:rsidRPr="00D42843" w:rsidRDefault="009A5CFD" w:rsidP="00841505">
      <w:pPr>
        <w:ind w:right="14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Классификация, принятая ВОЗ, Международной Ассоциацией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Муковисцидоза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Европейской Ассоциацией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Муковисцидоза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[1, 2, 3, 4, 5, 7, 8, 9]: o Классический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 панкреатической недостаточностью (смешанная или легочно-кишечная форма заболевания1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, PI. E84.8. o Классический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 ненарушенной функцией поджелудочной железы (преимущественно легочная форма заболевания1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, PS. E84.0. o Неопределенный диагноз при положительном неонатальном скрининге на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. E84.9. o Заболевания, ассоциированные с геном CFTR(МВТР) 15 • изолированная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азооспермия; • хронический панкреатит; • диссеминированные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бронхоэктазы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.</w:t>
      </w:r>
    </w:p>
    <w:p w:rsidR="009A5CFD" w:rsidRPr="00D42843" w:rsidRDefault="009A5CFD" w:rsidP="00841505">
      <w:pPr>
        <w:ind w:firstLine="851"/>
        <w:jc w:val="left"/>
        <w:rPr>
          <w:rFonts w:ascii="Times New Roman" w:hAnsi="Times New Roman" w:cs="Times New Roman"/>
        </w:rPr>
      </w:pPr>
    </w:p>
    <w:p w:rsidR="009A5CFD" w:rsidRPr="00D42843" w:rsidRDefault="009A5CFD" w:rsidP="00841505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0555C" w:rsidRPr="00D42843" w:rsidRDefault="0000555C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0555C" w:rsidRPr="00D42843" w:rsidRDefault="0000555C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0555C" w:rsidRPr="00D42843" w:rsidRDefault="0000555C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0555C" w:rsidRPr="00D42843" w:rsidRDefault="0000555C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A5B60" w:rsidRPr="00D42843" w:rsidRDefault="009A5B60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516805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516805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516805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516805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516805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D5A5A" w:rsidRPr="00D42843" w:rsidRDefault="003D5A5A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D5A5A" w:rsidRPr="00D42843" w:rsidRDefault="00D42843" w:rsidP="00D4284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Клиническая картина</w:t>
      </w:r>
    </w:p>
    <w:p w:rsidR="009A5CFD" w:rsidRPr="00D42843" w:rsidRDefault="009A5CFD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b/>
          <w:sz w:val="28"/>
          <w:szCs w:val="28"/>
        </w:rPr>
        <w:t>-ассоциированные заболевания печени</w:t>
      </w:r>
    </w:p>
    <w:p w:rsidR="003D5A5A" w:rsidRPr="00D42843" w:rsidRDefault="009A5CFD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-ассоциированные заболевания печени (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cysticfibrosis-associatedliverdisease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(CFLD) включают в себя такое многообразие нозологий как: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цирроз печени с и без синдрома внутрипеченочной портальной гипертензии,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персистирующее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повышение уровня печеночных ферментов, фиброз,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стеатоз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, желчнокаменная болезнь и изолированно лишь ультразвуковые из</w:t>
      </w:r>
      <w:r w:rsidRPr="00D42843">
        <w:rPr>
          <w:rFonts w:ascii="Times New Roman" w:hAnsi="Times New Roman" w:cs="Times New Roman"/>
          <w:sz w:val="28"/>
          <w:szCs w:val="28"/>
        </w:rPr>
        <w:t>менения паренхимы печени</w:t>
      </w:r>
      <w:r w:rsidRPr="00D428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Встречаемость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-ассоциированной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гепатобилиарной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патологии во всем мире примерно 37,9%, причем 2,5% летальных исходов отмечается именно по причине деком</w:t>
      </w:r>
      <w:r w:rsidRPr="00D42843">
        <w:rPr>
          <w:rFonts w:ascii="Times New Roman" w:hAnsi="Times New Roman" w:cs="Times New Roman"/>
          <w:sz w:val="28"/>
          <w:szCs w:val="28"/>
        </w:rPr>
        <w:t>пенсации заболеваний печени</w:t>
      </w:r>
      <w:r w:rsidRPr="00D428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 xml:space="preserve">По Европейскому Регистру пациентов с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за 2017 г. процент пациентов с циррозом печени и портальной гипертензией в Великобритании составляет – 1,51% (149 пациентов от 8344), в России же – 4,42% (136 пациентов от 2291) [5].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Цирроз печени с портальной гипертензией зафиксирован у 4,5% пациентов РФ в 2017 г, без портальной гипертензии – у 2,3%, цирроз печени (гипертензия не известна) у 0,7% больных и поражение печени без цирроза – у 15,9% пациентов.</w:t>
      </w:r>
    </w:p>
    <w:p w:rsidR="003D5A5A" w:rsidRPr="00D42843" w:rsidRDefault="009A5CFD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У 1,5% пациентов поражение печени является первым клиническим симптомом МВ; именно поэтому в диагностический алгоритм при циррозе печени неясной этиологии рекомендуется включать потовый тест для исключения МВ [24,25].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 xml:space="preserve">Поражение печени, как и многие другие фенотипические проявления МВ, зависит не только и не столько от генетического дефекта и типа мутации CFTR, но от действия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геновмодификаторов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находящихся вне локуса CFTR, например, Z аллель гена SERPINA1 (α1-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antitrypsin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или α1-antiprotease) [2,5] и аллель</w:t>
      </w:r>
      <w:r w:rsidRPr="00D42843">
        <w:rPr>
          <w:rFonts w:ascii="Times New Roman" w:hAnsi="Times New Roman" w:cs="Times New Roman"/>
          <w:sz w:val="28"/>
          <w:szCs w:val="28"/>
        </w:rPr>
        <w:t xml:space="preserve"> A VNTR в гене eNOS4</w:t>
      </w:r>
      <w:r w:rsidRPr="00D42843">
        <w:rPr>
          <w:rFonts w:ascii="Times New Roman" w:hAnsi="Times New Roman" w:cs="Times New Roman"/>
          <w:sz w:val="28"/>
          <w:szCs w:val="28"/>
        </w:rPr>
        <w:t>, и от факторов окружающей среды, включая ятрогенные.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Клинически при формировании цирроза печени диагностируется увеличение живота за счет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гепатоспленомегалии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расширение поверхностных вен на передней брюшной стенке. Рецидивирующие панкреатиты (как правило, у пациентов с сохранной функцией поджелудочной железы – PS).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 xml:space="preserve">С возрастом у пациентов с МВ нередко развивается и эндокринная недостаточность поджелудочной железы </w:t>
      </w:r>
      <w:r w:rsidRPr="00D4284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-зависимый сахарный диабет (МЗСД), который, как правило, протекает бессимптомно, и может долгое время оставаться не диагностированным.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При этом известно, что уже за 2–4 года до манифестации диабета ухудшаются показатели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статуса и дыхательной функции. Комбинация МВ и диабета оказывает негативное влияние на продолжительность жизни. Так, средняя продолжительность жизни пациентов с МЗСД ниже по сравнению с пациентами без диабета, медиана выживаемости у пациентов с МЗСД составляет 24 года, по сравнению с 32 годами у пац</w:t>
      </w:r>
      <w:r w:rsidRPr="00D42843">
        <w:rPr>
          <w:rFonts w:ascii="Times New Roman" w:hAnsi="Times New Roman" w:cs="Times New Roman"/>
          <w:sz w:val="28"/>
          <w:szCs w:val="28"/>
        </w:rPr>
        <w:t>иентов с МВ, но без диабета</w:t>
      </w:r>
      <w:r w:rsidRPr="00D42843">
        <w:rPr>
          <w:rFonts w:ascii="Times New Roman" w:hAnsi="Times New Roman" w:cs="Times New Roman"/>
          <w:sz w:val="28"/>
          <w:szCs w:val="28"/>
        </w:rPr>
        <w:t>.</w:t>
      </w:r>
    </w:p>
    <w:p w:rsidR="009A5CFD" w:rsidRPr="00D42843" w:rsidRDefault="009A5CFD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 xml:space="preserve">Клинические проявления, характерные для </w:t>
      </w:r>
      <w:proofErr w:type="spellStart"/>
      <w:r w:rsidRPr="00D42843">
        <w:rPr>
          <w:rFonts w:ascii="Times New Roman" w:hAnsi="Times New Roman" w:cs="Times New Roman"/>
          <w:b/>
          <w:sz w:val="28"/>
          <w:szCs w:val="28"/>
        </w:rPr>
        <w:t>муковисцидоза</w:t>
      </w:r>
      <w:proofErr w:type="spellEnd"/>
    </w:p>
    <w:p w:rsidR="009A5CFD" w:rsidRPr="00D42843" w:rsidRDefault="009A5CFD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2843">
        <w:rPr>
          <w:rFonts w:ascii="Times New Roman" w:hAnsi="Times New Roman" w:cs="Times New Roman"/>
          <w:sz w:val="28"/>
          <w:szCs w:val="28"/>
        </w:rPr>
        <w:t>Высокоспецифичные для МВ</w:t>
      </w:r>
      <w:proofErr w:type="gramEnd"/>
    </w:p>
    <w:p w:rsidR="009A5CFD" w:rsidRPr="00D42843" w:rsidRDefault="009A5CFD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Со стороны системы пищеварения:</w:t>
      </w:r>
    </w:p>
    <w:p w:rsidR="009A5CFD" w:rsidRPr="00D42843" w:rsidRDefault="009A5CFD" w:rsidP="00841505">
      <w:pPr>
        <w:pStyle w:val="a3"/>
        <w:numPr>
          <w:ilvl w:val="0"/>
          <w:numId w:val="1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Мекониевый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илеус</w:t>
      </w:r>
      <w:proofErr w:type="spellEnd"/>
    </w:p>
    <w:p w:rsidR="009A5CFD" w:rsidRPr="00D42843" w:rsidRDefault="009A5CFD" w:rsidP="00841505">
      <w:pPr>
        <w:pStyle w:val="a3"/>
        <w:numPr>
          <w:ilvl w:val="0"/>
          <w:numId w:val="1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Экзокринная недостаточность</w:t>
      </w:r>
    </w:p>
    <w:p w:rsidR="009A5CFD" w:rsidRPr="00D42843" w:rsidRDefault="00841505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поджелудочной железы у детей</w:t>
      </w:r>
    </w:p>
    <w:p w:rsidR="009A5CFD" w:rsidRPr="00D42843" w:rsidRDefault="009A5CFD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2843">
        <w:rPr>
          <w:rFonts w:ascii="Times New Roman" w:hAnsi="Times New Roman" w:cs="Times New Roman"/>
          <w:sz w:val="28"/>
          <w:szCs w:val="28"/>
        </w:rPr>
        <w:t>Менее специфичные для МВ</w:t>
      </w:r>
      <w:proofErr w:type="gramEnd"/>
    </w:p>
    <w:p w:rsidR="00841505" w:rsidRPr="00D42843" w:rsidRDefault="00841505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Со </w:t>
      </w:r>
      <w:r w:rsidRPr="00D42843">
        <w:rPr>
          <w:rFonts w:ascii="Times New Roman" w:hAnsi="Times New Roman" w:cs="Times New Roman"/>
          <w:sz w:val="28"/>
          <w:szCs w:val="28"/>
        </w:rPr>
        <w:t>стороны системы пищеварения: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  <w:sectPr w:rsidR="00841505" w:rsidRPr="00D42843" w:rsidSect="001A7B5B">
          <w:foot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lastRenderedPageBreak/>
        <w:t>Отставание физического развития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Гипопротеинемия</w:t>
      </w:r>
      <w:proofErr w:type="spellEnd"/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Дефицит жирорастворимых витаминов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дистальной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обструкции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Ректальный пролапс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цирроз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Портальная гипертензия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lastRenderedPageBreak/>
        <w:t xml:space="preserve">ЖКБ у детей без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гемолитического</w:t>
      </w:r>
      <w:proofErr w:type="gramEnd"/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синдрома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склерозирующий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холангит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Экзокринная недостаточность</w:t>
      </w:r>
    </w:p>
    <w:p w:rsidR="00841505" w:rsidRPr="00D42843" w:rsidRDefault="00841505" w:rsidP="00841505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поджелудочной железы у взрослых</w:t>
      </w:r>
    </w:p>
    <w:p w:rsidR="00841505" w:rsidRPr="00D42843" w:rsidRDefault="00186FC7" w:rsidP="00186FC7">
      <w:pPr>
        <w:pStyle w:val="a3"/>
        <w:numPr>
          <w:ilvl w:val="0"/>
          <w:numId w:val="18"/>
        </w:numPr>
        <w:ind w:left="0" w:firstLine="851"/>
        <w:rPr>
          <w:rFonts w:ascii="Times New Roman" w:hAnsi="Times New Roman" w:cs="Times New Roman"/>
          <w:sz w:val="28"/>
          <w:szCs w:val="28"/>
        </w:rPr>
        <w:sectPr w:rsidR="00841505" w:rsidRPr="00D42843" w:rsidSect="00841505">
          <w:type w:val="continuous"/>
          <w:pgSz w:w="11906" w:h="16838"/>
          <w:pgMar w:top="1134" w:right="567" w:bottom="1134" w:left="1418" w:header="709" w:footer="709" w:gutter="0"/>
          <w:cols w:num="2" w:space="708"/>
          <w:titlePg/>
          <w:docGrid w:linePitch="360"/>
        </w:sectPr>
      </w:pPr>
      <w:r w:rsidRPr="00D42843">
        <w:rPr>
          <w:rFonts w:ascii="Times New Roman" w:hAnsi="Times New Roman" w:cs="Times New Roman"/>
          <w:sz w:val="28"/>
          <w:szCs w:val="28"/>
        </w:rPr>
        <w:t xml:space="preserve">Рецидивирующий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панкреати</w:t>
      </w:r>
      <w:proofErr w:type="spellEnd"/>
    </w:p>
    <w:p w:rsidR="00D42843" w:rsidRDefault="00D42843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B5B" w:rsidRPr="00D42843" w:rsidRDefault="00841505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диагностические исследования</w:t>
      </w:r>
    </w:p>
    <w:p w:rsidR="00841505" w:rsidRPr="00D42843" w:rsidRDefault="00841505" w:rsidP="00841505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Определение наличия панкреатической недостаточности </w:t>
      </w:r>
    </w:p>
    <w:p w:rsidR="00841505" w:rsidRPr="00D42843" w:rsidRDefault="00841505" w:rsidP="00841505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Рекомендуется проведение лабораторных тестов для определения степени панкреатической недостаточности всем пациентам с подозрением на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 пациентам с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(определение активности панкреатической эластазы-1 в кале), степени коррекции панкреатической недостаточности – копрологическое исследование с опреде</w:t>
      </w:r>
      <w:r w:rsidRPr="00D42843">
        <w:rPr>
          <w:rFonts w:ascii="Times New Roman" w:hAnsi="Times New Roman" w:cs="Times New Roman"/>
          <w:sz w:val="28"/>
          <w:szCs w:val="28"/>
        </w:rPr>
        <w:t>лением нейтрального жира в кале. У</w:t>
      </w:r>
      <w:r w:rsidRPr="00D42843">
        <w:rPr>
          <w:rFonts w:ascii="Times New Roman" w:hAnsi="Times New Roman" w:cs="Times New Roman"/>
          <w:sz w:val="28"/>
          <w:szCs w:val="28"/>
        </w:rPr>
        <w:t xml:space="preserve"> пациентов с сохранной функцией поджелудочной железы определение активности панкреатической эластазы-1 в кале проводится ежегодно.</w:t>
      </w:r>
    </w:p>
    <w:p w:rsidR="00841505" w:rsidRPr="00D42843" w:rsidRDefault="00841505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Биохимическое исследование крови </w:t>
      </w:r>
    </w:p>
    <w:p w:rsidR="001A7B5B" w:rsidRPr="00D42843" w:rsidRDefault="00841505" w:rsidP="00841505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2843">
        <w:rPr>
          <w:rFonts w:ascii="Times New Roman" w:hAnsi="Times New Roman" w:cs="Times New Roman"/>
          <w:sz w:val="28"/>
          <w:szCs w:val="28"/>
        </w:rPr>
        <w:t xml:space="preserve">Рекомендовано проведение всем пациентам с МВ биохимического анализа крови общетерапевтического (общий белок, альбумин, определение активности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аланинаминотрансферазы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гамма-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глютамилтрансферазы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в крови, определение активности щелочной фосфатазы в крови, исследование уровня холестерина в крови, исследование уровня триглицеридов в крови, исследование уровня натрия в крови, исследование уровня калия в крови, исследование уровня хлоридов в крови, определение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активности амилазы в крови, определение активности липазы в сыворотке крови, исследование уровня общего билирубина в крови, исследование уровня свободного и связанного билирубина в крови, исследование уровня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Среактивного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белка), ежегодно, по показаниям - чаще. Исследование проводится с целью контроля состояния печени, функции поджелудочной железы, электролитного обмена и хронического </w:t>
      </w:r>
      <w:r w:rsidRPr="00D42843">
        <w:rPr>
          <w:rFonts w:ascii="Times New Roman" w:hAnsi="Times New Roman" w:cs="Times New Roman"/>
          <w:sz w:val="28"/>
          <w:szCs w:val="28"/>
        </w:rPr>
        <w:t>воспаления согласно показаниям.</w:t>
      </w:r>
    </w:p>
    <w:p w:rsidR="00186FC7" w:rsidRDefault="00186FC7" w:rsidP="00841505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42843" w:rsidRPr="00D42843" w:rsidRDefault="00D42843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42843" w:rsidRDefault="00D42843" w:rsidP="00186FC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43" w:rsidRDefault="00D42843" w:rsidP="00186FC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43" w:rsidRDefault="00D42843" w:rsidP="00186FC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43" w:rsidRDefault="00D42843" w:rsidP="00186FC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C7" w:rsidRPr="00D42843" w:rsidRDefault="00186FC7" w:rsidP="00186FC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lastRenderedPageBreak/>
        <w:t>Инструментальные методы исследования</w:t>
      </w:r>
    </w:p>
    <w:p w:rsidR="001A7B5B" w:rsidRPr="00D42843" w:rsidRDefault="00841505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Ультразвуковые методы исследования</w:t>
      </w:r>
    </w:p>
    <w:p w:rsidR="00841505" w:rsidRPr="00D42843" w:rsidRDefault="00841505" w:rsidP="0084150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2843">
        <w:rPr>
          <w:rFonts w:ascii="Times New Roman" w:hAnsi="Times New Roman" w:cs="Times New Roman"/>
          <w:sz w:val="28"/>
          <w:szCs w:val="28"/>
        </w:rPr>
        <w:t xml:space="preserve">Рекомендовано проведение ультразвукового исследования органов брюшной полости и печени (ультразвуковое исследование органов брюшной полости (комплексное), ультразвуковое исследование печени, ультразвуковое исследование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гепатобилиарной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зоны) всем пациентам с подозрением на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 пациентам с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, особое внимание уделять структуре поджелудочной железы, определять тип кровотока в печени (допплерография сосудов портальной системы, дуплексное сканирование сосудов печени) с целью выявления изменений, характерных для данного заболевания и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их динамики</w:t>
      </w:r>
      <w:r w:rsidRPr="00D42843">
        <w:rPr>
          <w:rFonts w:ascii="Times New Roman" w:hAnsi="Times New Roman" w:cs="Times New Roman"/>
          <w:sz w:val="28"/>
          <w:szCs w:val="28"/>
        </w:rPr>
        <w:t>.</w:t>
      </w:r>
    </w:p>
    <w:p w:rsidR="00841505" w:rsidRPr="00D42843" w:rsidRDefault="00841505" w:rsidP="00186F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Н</w:t>
      </w:r>
      <w:r w:rsidRPr="00D42843">
        <w:rPr>
          <w:rFonts w:ascii="Times New Roman" w:hAnsi="Times New Roman" w:cs="Times New Roman"/>
          <w:sz w:val="28"/>
          <w:szCs w:val="28"/>
        </w:rPr>
        <w:t xml:space="preserve">аличие линейного кровотока в печени свидетельствует о формировании фиброза. Целесообразно сопоставить с данными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фиброэластометри</w:t>
      </w:r>
      <w:r w:rsidR="00186FC7" w:rsidRPr="00D4284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86FC7" w:rsidRPr="00D42843">
        <w:rPr>
          <w:rFonts w:ascii="Times New Roman" w:hAnsi="Times New Roman" w:cs="Times New Roman"/>
          <w:sz w:val="28"/>
          <w:szCs w:val="28"/>
        </w:rPr>
        <w:t xml:space="preserve">. </w:t>
      </w:r>
      <w:r w:rsidRPr="00D42843">
        <w:rPr>
          <w:rFonts w:ascii="Times New Roman" w:hAnsi="Times New Roman" w:cs="Times New Roman"/>
          <w:sz w:val="28"/>
          <w:szCs w:val="28"/>
        </w:rPr>
        <w:t xml:space="preserve">Рекомендовано проведение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фиброэластометрии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печени (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эластометрия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печени) всем пациентам с МВ с целью оценки степени выраженности фиброза по шкале METAVIR</w:t>
      </w:r>
      <w:r w:rsidR="00186FC7" w:rsidRPr="00D42843">
        <w:rPr>
          <w:rFonts w:ascii="Times New Roman" w:hAnsi="Times New Roman" w:cs="Times New Roman"/>
          <w:sz w:val="28"/>
          <w:szCs w:val="28"/>
        </w:rPr>
        <w:t>. И</w:t>
      </w:r>
      <w:r w:rsidR="00186FC7" w:rsidRPr="00D42843">
        <w:rPr>
          <w:rFonts w:ascii="Times New Roman" w:hAnsi="Times New Roman" w:cs="Times New Roman"/>
          <w:sz w:val="28"/>
          <w:szCs w:val="28"/>
        </w:rPr>
        <w:t>сследование также целесообразно назначать пациентам с подозрением на МВ при наличии неясного поражения печени.</w:t>
      </w:r>
    </w:p>
    <w:p w:rsidR="00186FC7" w:rsidRPr="00D42843" w:rsidRDefault="00186FC7" w:rsidP="00186FC7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Фиброэзофагогастродуоденоскопию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эзофагогастродуоденоскопию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) рекомендуется проводить всем пациентам с МВ с циррозом печени для контроля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расширенных вен пищевода (ВРВП) 1 раз в 6-12 </w:t>
      </w:r>
      <w:proofErr w:type="spellStart"/>
      <w:proofErr w:type="gramStart"/>
      <w:r w:rsidRPr="00D42843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D42843">
        <w:rPr>
          <w:rFonts w:ascii="Times New Roman" w:hAnsi="Times New Roman" w:cs="Times New Roman"/>
          <w:sz w:val="28"/>
          <w:szCs w:val="28"/>
        </w:rPr>
        <w:t>, при подозрении на ГЭРБ, эрозивно-язвенные поражения, воспалительные заболевания слизистой пищевода и желудка</w:t>
      </w:r>
      <w:r w:rsidRPr="00D428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 биопсией рекомендуется по показаниям пациентам с подозрением на МВ для проведения измерения разности кишечных потенциалов</w:t>
      </w:r>
      <w:r w:rsidRPr="00D42843">
        <w:rPr>
          <w:rFonts w:ascii="Times New Roman" w:hAnsi="Times New Roman" w:cs="Times New Roman"/>
          <w:sz w:val="28"/>
          <w:szCs w:val="28"/>
        </w:rPr>
        <w:t xml:space="preserve">. </w:t>
      </w:r>
      <w:r w:rsidRPr="00D42843">
        <w:rPr>
          <w:rFonts w:ascii="Times New Roman" w:hAnsi="Times New Roman" w:cs="Times New Roman"/>
          <w:sz w:val="28"/>
          <w:szCs w:val="28"/>
        </w:rPr>
        <w:t xml:space="preserve">Рекомендовано проведение обзорной рентгенографии грудной и брюшной полости в прямой проекции вертикальном положении пациентам с МВ и подозрением на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мекониевый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илеус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 целью оценки состояния органов брюшной полости</w:t>
      </w:r>
      <w:r w:rsidRPr="00D42843">
        <w:rPr>
          <w:rFonts w:ascii="Times New Roman" w:hAnsi="Times New Roman" w:cs="Times New Roman"/>
          <w:sz w:val="28"/>
          <w:szCs w:val="28"/>
        </w:rPr>
        <w:t>.</w:t>
      </w:r>
    </w:p>
    <w:p w:rsidR="00186FC7" w:rsidRPr="00D42843" w:rsidRDefault="00186FC7" w:rsidP="00186FC7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2843">
        <w:rPr>
          <w:rFonts w:ascii="Times New Roman" w:hAnsi="Times New Roman" w:cs="Times New Roman"/>
          <w:sz w:val="28"/>
          <w:szCs w:val="28"/>
        </w:rPr>
        <w:t xml:space="preserve">Пациентам с подозрением на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мекониевый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илеус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рекомендуется УЗИ брюшной полости для оценки скорости кровотока и индекс резистентности на сосудах брыжейки в различных уровнях, определения наличие и характер </w:t>
      </w:r>
      <w:r w:rsidRPr="00D42843">
        <w:rPr>
          <w:rFonts w:ascii="Times New Roman" w:hAnsi="Times New Roman" w:cs="Times New Roman"/>
          <w:sz w:val="28"/>
          <w:szCs w:val="28"/>
        </w:rPr>
        <w:lastRenderedPageBreak/>
        <w:t xml:space="preserve">свободной жидкости в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межпетлевом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пространстве, латеральных каналах, малом тазу (ультразвуковое исследование органов брюшной полости (комплексное), ультразвуковая допплерография сосудов брыжейки, ультразвуковое определение жидкости в брюшной полости, ультразвуковое исследование органов мошонки, ультразвуковое исследование органов малого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таза (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>))</w:t>
      </w:r>
      <w:r w:rsidRPr="00D42843">
        <w:rPr>
          <w:rFonts w:ascii="Times New Roman" w:hAnsi="Times New Roman" w:cs="Times New Roman"/>
          <w:sz w:val="28"/>
          <w:szCs w:val="28"/>
        </w:rPr>
        <w:t>. И</w:t>
      </w:r>
      <w:r w:rsidRPr="00D42843">
        <w:rPr>
          <w:rFonts w:ascii="Times New Roman" w:hAnsi="Times New Roman" w:cs="Times New Roman"/>
          <w:sz w:val="28"/>
          <w:szCs w:val="28"/>
        </w:rPr>
        <w:t xml:space="preserve">сследование рекомендуется проводить врачом ультразвуковой диагностики совместно с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врачом-детским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хирургом.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</w:rPr>
        <w:t xml:space="preserve">Рекомендуется проведение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рентгеноконтрастных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методов исследования при подозрении на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мекониевый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илеус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для установления диагноза, оценки уровня поражения, определения объема контрастного вещества для проведения повторного тугого контрастирования</w:t>
      </w:r>
      <w:r w:rsidRPr="00D42843">
        <w:rPr>
          <w:rFonts w:ascii="Times New Roman" w:hAnsi="Times New Roman" w:cs="Times New Roman"/>
          <w:sz w:val="28"/>
          <w:szCs w:val="28"/>
        </w:rPr>
        <w:t xml:space="preserve">. </w:t>
      </w:r>
      <w:r w:rsidRPr="00D42843">
        <w:rPr>
          <w:rFonts w:ascii="Times New Roman" w:hAnsi="Times New Roman" w:cs="Times New Roman"/>
          <w:sz w:val="28"/>
          <w:szCs w:val="28"/>
        </w:rPr>
        <w:t xml:space="preserve">Диагностические методы, применяемые при обследовании: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ирригография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(ретроградная), интервальная рентгенография для оценки пассаж</w:t>
      </w:r>
      <w:r w:rsidRPr="00D42843">
        <w:rPr>
          <w:rFonts w:ascii="Times New Roman" w:hAnsi="Times New Roman" w:cs="Times New Roman"/>
          <w:sz w:val="28"/>
          <w:szCs w:val="28"/>
        </w:rPr>
        <w:t xml:space="preserve">а по желудочно-кишечному тракту. </w:t>
      </w:r>
    </w:p>
    <w:p w:rsidR="00186FC7" w:rsidRPr="00D42843" w:rsidRDefault="00186FC7" w:rsidP="00186F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У новорожденных детей применяются водорастворимые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рентгенконтрастные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вещества на основе йода. Контрастное вещество вводится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эндопросветно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что минимизирует системное воздействие, но нужно учитывать воздействие на кишечную стенку, поскольку данный раствор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гиперосмолярный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 может провоцировать дегидратацию 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желудочнокишечные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кровотечения. Также водорастворимое контрастное вещество может всасываться в кишечнике, выводится в этом случае оно почками, и мы можем визуализировать на отсроченных снимках контраст в собирательной системе почек. Чтобы минимизировать риск поражения слизистой, рекомендуется разведение с физиологическим</w:t>
      </w:r>
      <w:r w:rsidRPr="00D42843">
        <w:rPr>
          <w:rFonts w:ascii="Times New Roman" w:hAnsi="Times New Roman" w:cs="Times New Roman"/>
          <w:sz w:val="28"/>
          <w:szCs w:val="28"/>
        </w:rPr>
        <w:t xml:space="preserve"> раствором в соотношении 1:1. </w:t>
      </w:r>
      <w:r w:rsidRPr="00D42843">
        <w:rPr>
          <w:rFonts w:ascii="Times New Roman" w:hAnsi="Times New Roman" w:cs="Times New Roman"/>
          <w:sz w:val="28"/>
          <w:szCs w:val="28"/>
        </w:rPr>
        <w:t xml:space="preserve">Введение бариевой взвеси недопустимо у данной группы пациентов, поскольку продвижение бария по ЖКТ требует соответствующей перистальтической активности, 57 которой у новорожденных детей нет. Это может привести к формированию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обтурационной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кишечной непроходимости бариевыми камнями на фоне всасывания жид</w:t>
      </w:r>
      <w:r w:rsidRPr="00D42843">
        <w:rPr>
          <w:rFonts w:ascii="Times New Roman" w:hAnsi="Times New Roman" w:cs="Times New Roman"/>
          <w:sz w:val="28"/>
          <w:szCs w:val="28"/>
        </w:rPr>
        <w:t xml:space="preserve">кой части контрастной взвеси.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Ретроградная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ирригография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 водорастворимым контрастным веществом. Контрастное вещество вводится в толстую кишку через зонд, заведенный в анус на глубину 2- 3 см, с контролем заполнения толстой кишки под рентгеноскопией. Объем заполнения толстой кишки 20 мл/кг, для </w:t>
      </w:r>
      <w:r w:rsidRPr="00D42843">
        <w:rPr>
          <w:rFonts w:ascii="Times New Roman" w:hAnsi="Times New Roman" w:cs="Times New Roman"/>
          <w:sz w:val="28"/>
          <w:szCs w:val="28"/>
        </w:rPr>
        <w:lastRenderedPageBreak/>
        <w:t xml:space="preserve">тугого контрастирования возможно увеличение объема до 25 мл/кг. Контраст вводится медленно, контролируется ход толстой кишки, диаметр просвета кишки, характер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гаустрации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наличие содержимого внутри просвета кишки. При достижении контрастом купола слепой кишки необходимо оценить его расположение. Далее продолжается введение контрастного вещества, оценивается растяжимость кишки, заброс контраста выше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Баугиниевой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заслонки, характер подвздошной кишки (диаметр просвета,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гаустрация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содержимое), а также возможность попадания контрастного вещества в расширенный отдел тонкой кишки и расстояние от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илеоцекального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угла до расширенного отдела. Для лучшего продвижения контраста по кишечнику,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использовать легкий массаж передней брюшной стенки. По завершении исследовании необходимо зафиксировать объем использованного контрастного вещества в медицинской документации для проведения повторного тугого контрастирования в качестве консервативного лечения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мекониевого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илеуса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.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</w:rPr>
        <w:t xml:space="preserve">Рекомендовано проведение диагностической лапароскопии пациентам с подозрением на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мекониевый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илеус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для установления причины кишечной непроходимости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настоящий момент в связи с активным развитием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техники и анестезиологического пособия новорожденным и недоношенным детям, данный метод является наиболее информативным и наименее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травматичным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для верификации причин кишечной непроходимости. Если есть возможность, хирургическое лечение можно выполнить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лапароскопически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или расширить объем лечения до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минилапаротомии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в зоне интереса, либо, исключив анатомический дефект, поставить показания к консервативному лечению.</w:t>
      </w:r>
    </w:p>
    <w:p w:rsidR="00186FC7" w:rsidRPr="00D42843" w:rsidRDefault="00186FC7" w:rsidP="00186F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Инструментальная диагностика синдрома дистальной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обструкции </w:t>
      </w:r>
    </w:p>
    <w:p w:rsidR="00186FC7" w:rsidRPr="00D42843" w:rsidRDefault="00186FC7" w:rsidP="00186F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Синдром дистальной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обструкции – это частный случай низкой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обтурационной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кишечной непроходимости, возникающий при нарушении кишечного транзита у пациентов с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старше неонатального возраста. Данное заболевание редко встречается в возрасте до 2 лет, в силу особенности диеты и сохранении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перстальтической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активности кишки.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D42843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описываемого синдрома необходимо сочетание нескольких факторов – нарушенная секреция пищеварительных ферментов, пищевой рацион, состоящий из 58 продуктов, приводящих к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загустению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кишечного химуса (рис, яблоко, груша, банан, хлебобулочные изделия: пшеничный хлеб, макароны, печенье; картофель, чай, желе, мясо, курица или рыба), а также декомпенсация кишки на фоне хронического растяжения кишечной стенки.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Заболевание проявляется по типу калового завала, но характерной особенностью является то, что обструкция происходит выше толстой кишки и стандартные консервативные методы разрешения калового завала будут не эффективны. Понимая вышеописанные факторы,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сформировать группы риска, создать систему профилактики, диагностики и лечения. Рекомендовано проведение обзорной рентгенографии брюшной полости в прямой проекции вертикальном положении пациентам с МВ и клиникой низкой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обтурационной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кишечной непроходимости с целью оценки состояния органов брюшной полости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>ри описании рентгенограммы брюшной полости следует обратить внимание также на состояние диафрагмы.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C7" w:rsidRPr="00D42843" w:rsidRDefault="00186FC7" w:rsidP="00186F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Пациентам с подозрением на синдром дистальной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обструкции рекомендуется УЗИ брюшной полости для оценки характера содержимого кишечника, преимущественно в правых отделах брюшной полости. Определение наличия свободной жидкости в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межпетлевом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пространстве, латеральных каналах, малом тазу (ультразвуковое исследование органов брюшной полости (комплексное), ультразвуковое определение жидкости в брюшной полости, ультразвуковое исследование органов мошонки, ультразвуковое исследование органов малого таза (комплексное))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28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>следование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рекомендуется проводить врачом ультразвуковой диагностики совместно с врачом-детским хирургом. Ультразвук может не обеспечить адекватной визуализации причины формирования обструкции, тогда в принятии хирургического решения необходимо руководствоваться клинической картиной и д</w:t>
      </w:r>
      <w:r w:rsidRPr="00D42843">
        <w:rPr>
          <w:rFonts w:ascii="Times New Roman" w:hAnsi="Times New Roman" w:cs="Times New Roman"/>
          <w:sz w:val="28"/>
          <w:szCs w:val="28"/>
        </w:rPr>
        <w:t xml:space="preserve">анным рентгенографии. </w:t>
      </w:r>
      <w:r w:rsidRPr="00D42843">
        <w:rPr>
          <w:rFonts w:ascii="Times New Roman" w:hAnsi="Times New Roman" w:cs="Times New Roman"/>
          <w:sz w:val="28"/>
          <w:szCs w:val="28"/>
        </w:rPr>
        <w:t xml:space="preserve">Рекомендуется проведение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рентгеноконтрастных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методов исследования при подозрении на синдром дистальной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обструкции для установления диа</w:t>
      </w:r>
      <w:r w:rsidRPr="00D42843">
        <w:rPr>
          <w:rFonts w:ascii="Times New Roman" w:hAnsi="Times New Roman" w:cs="Times New Roman"/>
          <w:sz w:val="28"/>
          <w:szCs w:val="28"/>
        </w:rPr>
        <w:t xml:space="preserve">гноза, оценки уровня поражения. </w:t>
      </w:r>
    </w:p>
    <w:p w:rsidR="00186FC7" w:rsidRPr="00D42843" w:rsidRDefault="00186FC7" w:rsidP="00186F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Диагностические методы, применяемые при обследовании: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ирригография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(ретроградная), интервальная рентгенография для оценки пассажа</w:t>
      </w:r>
      <w:r w:rsidRPr="00D42843">
        <w:rPr>
          <w:rFonts w:ascii="Times New Roman" w:hAnsi="Times New Roman" w:cs="Times New Roman"/>
          <w:sz w:val="28"/>
          <w:szCs w:val="28"/>
        </w:rPr>
        <w:t xml:space="preserve"> по желудочно-кишечному тракту. </w:t>
      </w:r>
      <w:r w:rsidRPr="00D42843">
        <w:rPr>
          <w:rFonts w:ascii="Times New Roman" w:hAnsi="Times New Roman" w:cs="Times New Roman"/>
          <w:sz w:val="28"/>
          <w:szCs w:val="28"/>
        </w:rPr>
        <w:t xml:space="preserve">У детей с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 синдромом дистальной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обструкции целесообразно применение водорастворимых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рентгенконтрастны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средств, содержащих йод. Контрастное средство вводится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эндопросветно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, что минимизирует системное воздействие, но нужно учитывать воздействие на кишечную стенку. Также водорастворимое контрастное средство может всасываться в кишечнике, выводится в этом случае оно почками, и мы можем визуализировать на отсроченных снимках контрастное средство в собирательной системе почек. Чтобы минимизировать риск поражения слизистой, рекомендуется разведение с раствором натрия хлор</w:t>
      </w:r>
      <w:r w:rsidRPr="00D42843">
        <w:rPr>
          <w:rFonts w:ascii="Times New Roman" w:hAnsi="Times New Roman" w:cs="Times New Roman"/>
          <w:sz w:val="28"/>
          <w:szCs w:val="28"/>
        </w:rPr>
        <w:t xml:space="preserve">ида** 0,9% в соотношении 1:1. </w:t>
      </w:r>
      <w:r w:rsidRPr="00D42843">
        <w:rPr>
          <w:rFonts w:ascii="Times New Roman" w:hAnsi="Times New Roman" w:cs="Times New Roman"/>
          <w:sz w:val="28"/>
          <w:szCs w:val="28"/>
        </w:rPr>
        <w:t xml:space="preserve">Введение бария сульфата** допустимо у данной группы пациентов, но не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желательно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поскольку продвижение бария по ЖКТ может быть нарушено, в следствие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декомпесированного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состояния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ишкиперистальтической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активности, которой у новорожденных детей нет. Это может привести к формированию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обтурационной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кишечной непроходимости бариевыми камнями на фоне всасывания жидкой части контрастного средства.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Ретроградная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ирригография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 водорастворимым контрастным средством. Контрастное средство вводится в толстую кишку через зонд, заведенный в анус на глубину 2-3 см, с контролем заполнения толстой кишки под рентгеноскопией. Объем заполнения толстой кишки 20 мл/кг, для тугого контрастирования возможно увеличение объема до 25 мл/кг. Контраст вводится медленно, контролируется ход толстой кишки, диаметр просвета кишки, характер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гаустрации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наличие содержимого внутри просвета кишки. При достижении контрастом купола слепой кишки необходимо оценить его расположение. Далее продолжается введение контрастного средства, оценивается растяжимость кишки, заброс контраста выше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Баугиниевой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заслонки, характер подвздошной кишки (диаметр просвета,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гаустрация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содержимое), а также возможность попадания контрастного средства в расширенный отдел тонкой кишки и расстояние от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илеоцекального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угла до расширенного отдела. Для лучшего продвижения контраста по кишечнику,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использовать легкий </w:t>
      </w:r>
      <w:r w:rsidRPr="00D42843">
        <w:rPr>
          <w:rFonts w:ascii="Times New Roman" w:hAnsi="Times New Roman" w:cs="Times New Roman"/>
          <w:sz w:val="28"/>
          <w:szCs w:val="28"/>
        </w:rPr>
        <w:lastRenderedPageBreak/>
        <w:t xml:space="preserve">массаж передней брюшной стенки. Рекомендовано рассмотреть проведение диагностической лапароскопии пациентам с подозрением на синдром дистальной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интестинальной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обструкции без анамнеза оперативных вмешательств на брюшной полости (при отсутствии спаек) для верификации причины кишечной 60 непроходимости и для обеспечения визуализации места обструкции при применении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минилапоротомного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доступа при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интестинотомии</w:t>
      </w:r>
      <w:proofErr w:type="spellEnd"/>
    </w:p>
    <w:p w:rsidR="00186FC7" w:rsidRPr="00D42843" w:rsidRDefault="009656D3" w:rsidP="00965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186FC7" w:rsidRPr="00D42843" w:rsidRDefault="00C31771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Терапия внешнесекреторной недостаточности поджелудочной железы</w:t>
      </w:r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Заместительную терапию панкреатическими ферментами (Панкреатин**), (в виде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минимикросфер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с рН-чувствительным покрытием без применения метакриловой кислоты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желатиновой капсулы) рекомендовано назначать всем пациентам, включая новорождённых с МВ, имеющим клинические проявления кишечного синдрома или низкую концентрацию па</w:t>
      </w:r>
      <w:r w:rsidRPr="00D42843">
        <w:rPr>
          <w:rFonts w:ascii="Times New Roman" w:hAnsi="Times New Roman" w:cs="Times New Roman"/>
          <w:sz w:val="28"/>
          <w:szCs w:val="28"/>
        </w:rPr>
        <w:t>нкреатической эластазы-1 в кале.</w:t>
      </w:r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При проведении заместительной терап</w:t>
      </w:r>
      <w:r w:rsidRPr="00D42843">
        <w:rPr>
          <w:rFonts w:ascii="Times New Roman" w:hAnsi="Times New Roman" w:cs="Times New Roman"/>
          <w:sz w:val="28"/>
          <w:szCs w:val="28"/>
        </w:rPr>
        <w:t xml:space="preserve">ии необходимо контролировать: </w:t>
      </w:r>
      <w:r w:rsidRPr="00D42843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копрограммы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, в первую очередь</w:t>
      </w:r>
      <w:r w:rsidRPr="00D42843">
        <w:rPr>
          <w:rFonts w:ascii="Times New Roman" w:hAnsi="Times New Roman" w:cs="Times New Roman"/>
          <w:sz w:val="28"/>
          <w:szCs w:val="28"/>
        </w:rPr>
        <w:t xml:space="preserve"> количество нейтрального жира; частоту и характер стула; </w:t>
      </w:r>
      <w:r w:rsidRPr="00D42843">
        <w:rPr>
          <w:rFonts w:ascii="Times New Roman" w:hAnsi="Times New Roman" w:cs="Times New Roman"/>
          <w:sz w:val="28"/>
          <w:szCs w:val="28"/>
        </w:rPr>
        <w:t xml:space="preserve">ежемесячную прибавку массы тела и динамику роста пациента. Для восстановления адекватной ассимиляции жира следует применять высокоэффективные панкреатические ферменты в виде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минимикросфер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что в большинстве случаев позволяет компенсировать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стеаторею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 уменьшить дефицит массы тела. Показания: все пациенты с признаками недостаточности экзокринной функции поджелудочной железы (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стеаторея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(нейтральный жир в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копрограмме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), снижение панкреатической эластазы-1 менее 200 мкг/г).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</w:rPr>
        <w:t xml:space="preserve">Противопоказания: индивидуальная непереносимость. Выбор пути введения: внутрь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время каждого приема пищи. Панкреатические ферменты не следует назначать после еды. Капсулы, содержащие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минимикросферы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можно вскрывать и принимать их содержимое одновременно с небольшим количеством пищи, или принимать целиком, не вскрывая, если ребенок уже достаточно большой и может проглотить капсулу. Оценка эффективности лечения: к клиническим показателям адекватной дозировки панкреатических ферментов следует отнести: улучшение прибавки </w:t>
      </w:r>
      <w:r w:rsidRPr="00D42843">
        <w:rPr>
          <w:rFonts w:ascii="Times New Roman" w:hAnsi="Times New Roman" w:cs="Times New Roman"/>
          <w:sz w:val="28"/>
          <w:szCs w:val="28"/>
        </w:rPr>
        <w:lastRenderedPageBreak/>
        <w:t xml:space="preserve">веса детей, уменьшение объема стула, его частоты, уменьшение зловонного запаха, исчезновение болей в животе. Лабораторные показатели – уменьшение степени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стеатореи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. Оценка безопасности лечения - по клиническим признакам. Дополнительные замечания: Подбор доз панкреатических ферментов проводится эмпирически. o Доза панкреатина индивидуальна для каждого пациента. o У большинства пациентов доза должна оставаться меньше или не превышать 10 000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по липазе на 1 кг массы тела в сутки или 4000 ЕД на 1 г потребленного жира. o Подбор дозы можно начать в зависимости от массы тела, что составляет в начале лечения 1000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/кг по липазе на каждый прием пищи для детей младше четырех лет и 500 ЕД/кг по липазе во время приема пищи для детей старше четырех лет и взрослых. В дальнейшем доза может постепенно повышаться до нормализации симптомов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стеатореи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. Дозу следует определять также в зависимости от выраженности кишечного синдрома, результатов контроля за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стеатореей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 поддержания адекватного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нутритивного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статуса. o Новорожденным на каждые 120 мл питания (смесь или женское молоко) стартовая доза рассчитывается как 2500-3333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липазы (1/4-1/3 капсулы препарата с активностью 10 000 ЕД липазы в капсуле). Эти дозы соответствуют примерно 600-800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липазы на 1 г пищевых жиров или по ½-1 мерной ложке кишечнорастворимых</w:t>
      </w:r>
      <w:r w:rsidRPr="00D42843">
        <w:rPr>
          <w:rFonts w:ascii="Times New Roman" w:hAnsi="Times New Roman" w:cs="Times New Roman"/>
          <w:sz w:val="28"/>
          <w:szCs w:val="28"/>
        </w:rPr>
        <w:t xml:space="preserve"> гранул из флаконов</w:t>
      </w:r>
      <w:r w:rsidRPr="00D42843">
        <w:rPr>
          <w:rFonts w:ascii="Times New Roman" w:hAnsi="Times New Roman" w:cs="Times New Roman"/>
          <w:sz w:val="28"/>
          <w:szCs w:val="28"/>
        </w:rPr>
        <w:t xml:space="preserve">. В настоящее время рекомендуется подсчет панкреатических ферментов по потребляемому жиру с расчетом коэффициента на 1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жира. Доза рассчитывается индивидуально. Допустимые значения коэффициента о</w:t>
      </w:r>
      <w:r w:rsidRPr="00D42843">
        <w:rPr>
          <w:rFonts w:ascii="Times New Roman" w:hAnsi="Times New Roman" w:cs="Times New Roman"/>
          <w:sz w:val="28"/>
          <w:szCs w:val="28"/>
        </w:rPr>
        <w:t xml:space="preserve">т 500 до 4000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жира.</w:t>
      </w:r>
      <w:r w:rsidRPr="00D42843">
        <w:rPr>
          <w:rFonts w:ascii="Times New Roman" w:hAnsi="Times New Roman" w:cs="Times New Roman"/>
          <w:sz w:val="28"/>
          <w:szCs w:val="28"/>
        </w:rPr>
        <w:t xml:space="preserve"> У ряда пациентов, особенно при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–энергетической недостаточности,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гиперацидности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и других состояниях, может понадобиться повышенная доза панкреатина более 10 000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по липазе на 1 кг массы тела в сутки или 4000 ЕД на 1 г потребленного жира</w:t>
      </w:r>
      <w:r w:rsidRPr="00D42843">
        <w:rPr>
          <w:rFonts w:ascii="Times New Roman" w:hAnsi="Times New Roman" w:cs="Times New Roman"/>
          <w:sz w:val="28"/>
          <w:szCs w:val="28"/>
        </w:rPr>
        <w:t>.</w:t>
      </w:r>
    </w:p>
    <w:p w:rsidR="00D42843" w:rsidRPr="009656D3" w:rsidRDefault="00C31771" w:rsidP="009656D3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Не следует повышать дозу ферментов до очень высокой (&gt;18000-20000 </w:t>
      </w:r>
      <w:proofErr w:type="spellStart"/>
      <w:proofErr w:type="gramStart"/>
      <w:r w:rsidRPr="00D4284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липазы/кг в сутки). В дальнейшем доза подвергается коррекции на основе клинических симптомов и лабораторных данных. Следует помнить, что примерно у 10% пациентов недостаточность поджелудочной железы не поддается полной корре</w:t>
      </w:r>
      <w:r w:rsidRPr="00D42843">
        <w:rPr>
          <w:rFonts w:ascii="Times New Roman" w:hAnsi="Times New Roman" w:cs="Times New Roman"/>
          <w:sz w:val="28"/>
          <w:szCs w:val="28"/>
        </w:rPr>
        <w:t xml:space="preserve">кции. 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Э</w:t>
      </w:r>
      <w:r w:rsidRPr="00D42843">
        <w:rPr>
          <w:rFonts w:ascii="Times New Roman" w:hAnsi="Times New Roman" w:cs="Times New Roman"/>
          <w:sz w:val="28"/>
          <w:szCs w:val="28"/>
        </w:rPr>
        <w:t xml:space="preserve">ффективность терапии панкреатическими ферментами иногда </w:t>
      </w:r>
      <w:r w:rsidRPr="00D42843">
        <w:rPr>
          <w:rFonts w:ascii="Times New Roman" w:hAnsi="Times New Roman" w:cs="Times New Roman"/>
          <w:sz w:val="28"/>
          <w:szCs w:val="28"/>
        </w:rPr>
        <w:lastRenderedPageBreak/>
        <w:t>можно повысить при одновременном применении #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фамотидина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** (противопоказан в детском возрасте),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ранитидина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** (противопоказан детям до 12 лет),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омепразола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** (противопоказан детям до 2 лет) или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эзомепразола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** (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- противопоказаны детям до 1 года, таблетки противопоказаны детям до 12 лет.</w:t>
      </w:r>
      <w:proofErr w:type="gramEnd"/>
      <w:r w:rsidRPr="00D42843">
        <w:rPr>
          <w:rFonts w:ascii="Times New Roman" w:hAnsi="Times New Roman" w:cs="Times New Roman"/>
          <w:sz w:val="28"/>
          <w:szCs w:val="28"/>
        </w:rPr>
        <w:t xml:space="preserve"> Данные препараты могут быть назначены в случае потребности значительного увеличения доз панкреатических ферментов и/или при отсутствии их лечебного эффекта, что может быть обусловлено повышенной кислотностью желудочного сока и недостаточным ощелачиванием химуса в 12-перстной кишке</w:t>
      </w:r>
      <w:r w:rsidR="009656D3">
        <w:rPr>
          <w:rFonts w:ascii="Times New Roman" w:hAnsi="Times New Roman" w:cs="Times New Roman"/>
          <w:sz w:val="28"/>
          <w:szCs w:val="28"/>
        </w:rPr>
        <w:t>.</w:t>
      </w:r>
    </w:p>
    <w:p w:rsidR="00C31771" w:rsidRPr="00D42843" w:rsidRDefault="00C31771" w:rsidP="00D4284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31771" w:rsidRPr="00D42843" w:rsidRDefault="00C31771" w:rsidP="00C31771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Муковисцидоз</w:t>
      </w:r>
      <w:proofErr w:type="spellEnd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 к неизлечимым заболеваниям, поэтому пациенты нуждаются в активном диспансерном наблюдении и непрерывной терапии в течение всей жизни. У одних пациентов, несмотря на своевременную диагностику и адекватную терапию, поражение бронхолегочной системы быстро прогрессирует, другие обнаруживают более благоприятную динамику и доживают до взрослого возраста. Однако точная прогностическая оценка исхода </w:t>
      </w:r>
      <w:proofErr w:type="spellStart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муковисцидоза</w:t>
      </w:r>
      <w:proofErr w:type="spellEnd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невозможна даже в тех случаях, когда точно установлен тип мутации. Факторы, влияющие на прогноз заболевания: качество проводимой терапии; режим питания; образ жизни; соблюдение предписанного режима лечения; вирусные, бактериальные и грибковые инфекции. В настоящее время частота летальных исходов у новорожденных с </w:t>
      </w:r>
      <w:proofErr w:type="spellStart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мекониальным</w:t>
      </w:r>
      <w:proofErr w:type="spellEnd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илеусом</w:t>
      </w:r>
      <w:proofErr w:type="spellEnd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превышает 5%. Тем не </w:t>
      </w:r>
      <w:proofErr w:type="gramStart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proofErr w:type="gramEnd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показывает, что </w:t>
      </w:r>
      <w:proofErr w:type="spellStart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муковисцидоз</w:t>
      </w:r>
      <w:proofErr w:type="spellEnd"/>
      <w:r w:rsidRPr="00D42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этих детей обычно характеризуется тяжелым течением.</w:t>
      </w:r>
      <w:r w:rsidRPr="00D42843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D4284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186FC7" w:rsidRPr="00D42843" w:rsidRDefault="00186FC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C7" w:rsidRPr="00D42843" w:rsidRDefault="00186FC7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43" w:rsidRDefault="00D42843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D3" w:rsidRDefault="009656D3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D3" w:rsidRDefault="009656D3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D3" w:rsidRDefault="009656D3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05" w:rsidRPr="00D42843" w:rsidRDefault="00046191" w:rsidP="008415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284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06ED7" w:rsidRPr="00D42843" w:rsidRDefault="0008632A" w:rsidP="00841505">
      <w:pPr>
        <w:pStyle w:val="a3"/>
        <w:numPr>
          <w:ilvl w:val="0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sz w:val="28"/>
          <w:szCs w:val="28"/>
          <w:lang w:val="en-US"/>
        </w:rPr>
        <w:t>Stanojevic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42843">
        <w:rPr>
          <w:rFonts w:ascii="Times New Roman" w:hAnsi="Times New Roman" w:cs="Times New Roman"/>
          <w:sz w:val="28"/>
          <w:szCs w:val="28"/>
        </w:rPr>
        <w:t xml:space="preserve">,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Davis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D42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843">
        <w:rPr>
          <w:rFonts w:ascii="Times New Roman" w:hAnsi="Times New Roman" w:cs="Times New Roman"/>
          <w:sz w:val="28"/>
          <w:szCs w:val="28"/>
          <w:lang w:val="en-US"/>
        </w:rPr>
        <w:t>Retsch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-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Bogart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42843">
        <w:rPr>
          <w:rFonts w:ascii="Times New Roman" w:hAnsi="Times New Roman" w:cs="Times New Roman"/>
          <w:sz w:val="28"/>
          <w:szCs w:val="28"/>
        </w:rPr>
        <w:t xml:space="preserve">,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D42843">
        <w:rPr>
          <w:rFonts w:ascii="Times New Roman" w:hAnsi="Times New Roman" w:cs="Times New Roman"/>
          <w:sz w:val="28"/>
          <w:szCs w:val="28"/>
        </w:rPr>
        <w:t xml:space="preserve">: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Progression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lung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preschool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>cystic</w:t>
      </w:r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  <w:lang w:val="en-US"/>
        </w:rPr>
        <w:t xml:space="preserve">fibrosis.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J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Respir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Crit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195:1216–1225, 2017.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: 10.1164/rccm.201610-2158OC</w:t>
      </w:r>
    </w:p>
    <w:p w:rsidR="00C31771" w:rsidRPr="00D42843" w:rsidRDefault="00186FC7" w:rsidP="00C31771">
      <w:pPr>
        <w:pStyle w:val="a3"/>
        <w:numPr>
          <w:ilvl w:val="0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Национальный консенсус «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: определение, диагностические критерии, терапия» Под редакцией Е.И. Кондратьевой, Н.Ю. Каширской, Н.И.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. Москва, ООО «Компания БОРГЕС». 2016, 205 с.</w:t>
      </w:r>
    </w:p>
    <w:p w:rsidR="00C31771" w:rsidRPr="00D42843" w:rsidRDefault="00C31771" w:rsidP="00C31771">
      <w:pPr>
        <w:pStyle w:val="a3"/>
        <w:numPr>
          <w:ilvl w:val="0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Клинические рекомендации «</w:t>
      </w:r>
      <w:r w:rsidR="00D42843" w:rsidRPr="00D42843">
        <w:rPr>
          <w:rFonts w:ascii="Times New Roman" w:hAnsi="Times New Roman" w:cs="Times New Roman"/>
          <w:sz w:val="28"/>
          <w:szCs w:val="28"/>
        </w:rPr>
        <w:t>Кистозный фиброз (</w:t>
      </w:r>
      <w:proofErr w:type="spellStart"/>
      <w:r w:rsidR="00D42843" w:rsidRPr="00D42843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="00D42843" w:rsidRPr="00D42843">
        <w:rPr>
          <w:rFonts w:ascii="Times New Roman" w:hAnsi="Times New Roman" w:cs="Times New Roman"/>
          <w:sz w:val="28"/>
          <w:szCs w:val="28"/>
        </w:rPr>
        <w:t xml:space="preserve">)»/ ред. совет: Л.С. </w:t>
      </w:r>
      <w:proofErr w:type="spellStart"/>
      <w:r w:rsidR="00D42843" w:rsidRPr="00D42843">
        <w:rPr>
          <w:rFonts w:ascii="Times New Roman" w:hAnsi="Times New Roman" w:cs="Times New Roman"/>
          <w:sz w:val="28"/>
          <w:szCs w:val="28"/>
        </w:rPr>
        <w:t>Намазова</w:t>
      </w:r>
      <w:proofErr w:type="spellEnd"/>
      <w:r w:rsidR="00D42843" w:rsidRPr="00D42843">
        <w:rPr>
          <w:rFonts w:ascii="Times New Roman" w:hAnsi="Times New Roman" w:cs="Times New Roman"/>
          <w:sz w:val="28"/>
          <w:szCs w:val="28"/>
        </w:rPr>
        <w:t>-Баранова</w:t>
      </w:r>
      <w:r w:rsidRPr="00D42843">
        <w:rPr>
          <w:rFonts w:ascii="Times New Roman" w:hAnsi="Times New Roman" w:cs="Times New Roman"/>
          <w:sz w:val="28"/>
          <w:szCs w:val="28"/>
        </w:rPr>
        <w:t xml:space="preserve"> [и др.]. – Москва </w:t>
      </w:r>
      <w:proofErr w:type="gramStart"/>
      <w:r w:rsidRPr="00D42843">
        <w:rPr>
          <w:rFonts w:ascii="Times New Roman" w:hAnsi="Times New Roman" w:cs="Times New Roman"/>
          <w:sz w:val="28"/>
          <w:szCs w:val="28"/>
        </w:rPr>
        <w:t>:</w:t>
      </w:r>
      <w:r w:rsidR="00D42843" w:rsidRPr="00D428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2843" w:rsidRPr="00D42843">
        <w:rPr>
          <w:rFonts w:ascii="Times New Roman" w:hAnsi="Times New Roman" w:cs="Times New Roman"/>
          <w:sz w:val="28"/>
          <w:szCs w:val="28"/>
        </w:rPr>
        <w:t>оюз педиатров России, Ассоциация медицинских генетиков,  Российское респираторное общество и др. 2021. – 225</w:t>
      </w:r>
      <w:r w:rsidRPr="00D4284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42843" w:rsidRPr="00D42843" w:rsidRDefault="00D42843" w:rsidP="00C31771">
      <w:pPr>
        <w:pStyle w:val="a3"/>
        <w:numPr>
          <w:ilvl w:val="0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sz w:val="28"/>
          <w:szCs w:val="28"/>
          <w:lang w:val="en-US"/>
        </w:rPr>
        <w:t>LiuJ.C</w:t>
      </w:r>
      <w:proofErr w:type="spellEnd"/>
      <w:r w:rsidRPr="00D428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2843">
        <w:rPr>
          <w:rFonts w:ascii="Times New Roman" w:hAnsi="Times New Roman" w:cs="Times New Roman"/>
          <w:sz w:val="28"/>
          <w:szCs w:val="28"/>
          <w:lang w:val="en-US"/>
        </w:rPr>
        <w:t>etal</w:t>
      </w:r>
      <w:proofErr w:type="spellEnd"/>
      <w:r w:rsidRPr="00D42843">
        <w:rPr>
          <w:rFonts w:ascii="Times New Roman" w:hAnsi="Times New Roman" w:cs="Times New Roman"/>
          <w:sz w:val="28"/>
          <w:szCs w:val="28"/>
          <w:lang w:val="en-US"/>
        </w:rPr>
        <w:t xml:space="preserve">. What is the clinical significance of filamentous fungi positive sputum cultures in patients with cystic fibrosis?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Cystic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Fibrosis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12 (2013) 187–193</w:t>
      </w:r>
    </w:p>
    <w:p w:rsidR="00D42843" w:rsidRPr="00D42843" w:rsidRDefault="00D42843" w:rsidP="00C31771">
      <w:pPr>
        <w:pStyle w:val="a3"/>
        <w:numPr>
          <w:ilvl w:val="0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sz w:val="28"/>
          <w:szCs w:val="28"/>
          <w:lang w:val="en-US"/>
        </w:rPr>
        <w:t>Eickmeier</w:t>
      </w:r>
      <w:proofErr w:type="spellEnd"/>
      <w:r w:rsidRPr="00D42843">
        <w:rPr>
          <w:rFonts w:ascii="Times New Roman" w:hAnsi="Times New Roman" w:cs="Times New Roman"/>
          <w:sz w:val="28"/>
          <w:szCs w:val="28"/>
          <w:lang w:val="en-US"/>
        </w:rPr>
        <w:t xml:space="preserve"> O., Hector A., Singh A., Hart D. Fungi in Cystic Fibrosis: Recent Findings and Unresolved Questions.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CurrentFungalInfectionReports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•2014</w:t>
      </w:r>
    </w:p>
    <w:p w:rsidR="00D42843" w:rsidRPr="00D42843" w:rsidRDefault="00D42843" w:rsidP="00C31771">
      <w:pPr>
        <w:pStyle w:val="a3"/>
        <w:numPr>
          <w:ilvl w:val="0"/>
          <w:numId w:val="1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42843">
        <w:rPr>
          <w:rFonts w:ascii="Times New Roman" w:hAnsi="Times New Roman" w:cs="Times New Roman"/>
          <w:sz w:val="28"/>
          <w:szCs w:val="28"/>
          <w:lang w:val="en-US"/>
        </w:rPr>
        <w:t>PinetM</w:t>
      </w:r>
      <w:proofErr w:type="spellEnd"/>
      <w:r w:rsidRPr="00D428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D42843">
        <w:rPr>
          <w:rFonts w:ascii="Times New Roman" w:hAnsi="Times New Roman" w:cs="Times New Roman"/>
          <w:sz w:val="28"/>
          <w:szCs w:val="28"/>
          <w:lang w:val="en-US"/>
        </w:rPr>
        <w:t>CarrereJ</w:t>
      </w:r>
      <w:proofErr w:type="spellEnd"/>
      <w:r w:rsidRPr="00D42843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D428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  <w:lang w:val="en-US"/>
        </w:rPr>
        <w:t>CimonB</w:t>
      </w:r>
      <w:proofErr w:type="spellEnd"/>
      <w:r w:rsidRPr="00D42843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42843">
        <w:rPr>
          <w:rFonts w:ascii="Times New Roman" w:hAnsi="Times New Roman" w:cs="Times New Roman"/>
          <w:sz w:val="28"/>
          <w:szCs w:val="28"/>
          <w:lang w:val="en-US"/>
        </w:rPr>
        <w:t>etal</w:t>
      </w:r>
      <w:proofErr w:type="spellEnd"/>
      <w:r w:rsidRPr="00D42843">
        <w:rPr>
          <w:rFonts w:ascii="Times New Roman" w:hAnsi="Times New Roman" w:cs="Times New Roman"/>
          <w:sz w:val="28"/>
          <w:szCs w:val="28"/>
          <w:lang w:val="en-US"/>
        </w:rPr>
        <w:t xml:space="preserve">. Occurrence and relevance of filamentous fungi in respiratory secretions of patients with cystic fibrosis—a review.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MedicalMycologyJune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2009, 47 (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SpecialIssue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>), 387-397</w:t>
      </w:r>
    </w:p>
    <w:p w:rsidR="00C31771" w:rsidRPr="00D42843" w:rsidRDefault="00C31771" w:rsidP="00C31771">
      <w:pPr>
        <w:rPr>
          <w:rFonts w:ascii="Times New Roman" w:hAnsi="Times New Roman" w:cs="Times New Roman"/>
          <w:sz w:val="28"/>
          <w:szCs w:val="28"/>
        </w:rPr>
      </w:pPr>
    </w:p>
    <w:sectPr w:rsidR="00C31771" w:rsidRPr="00D42843" w:rsidSect="00841505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F8" w:rsidRDefault="00BF5CF8" w:rsidP="00516805">
      <w:pPr>
        <w:spacing w:line="240" w:lineRule="auto"/>
      </w:pPr>
      <w:r>
        <w:separator/>
      </w:r>
    </w:p>
  </w:endnote>
  <w:endnote w:type="continuationSeparator" w:id="0">
    <w:p w:rsidR="00BF5CF8" w:rsidRDefault="00BF5CF8" w:rsidP="00516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944363"/>
      <w:docPartObj>
        <w:docPartGallery w:val="Page Numbers (Bottom of Page)"/>
        <w:docPartUnique/>
      </w:docPartObj>
    </w:sdtPr>
    <w:sdtEndPr/>
    <w:sdtContent>
      <w:p w:rsidR="00516805" w:rsidRDefault="005168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FB">
          <w:rPr>
            <w:noProof/>
          </w:rPr>
          <w:t>18</w:t>
        </w:r>
        <w:r>
          <w:fldChar w:fldCharType="end"/>
        </w:r>
      </w:p>
    </w:sdtContent>
  </w:sdt>
  <w:p w:rsidR="00516805" w:rsidRDefault="005168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F8" w:rsidRDefault="00BF5CF8" w:rsidP="00516805">
      <w:pPr>
        <w:spacing w:line="240" w:lineRule="auto"/>
      </w:pPr>
      <w:r>
        <w:separator/>
      </w:r>
    </w:p>
  </w:footnote>
  <w:footnote w:type="continuationSeparator" w:id="0">
    <w:p w:rsidR="00BF5CF8" w:rsidRDefault="00BF5CF8" w:rsidP="005168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2E0"/>
    <w:multiLevelType w:val="hybridMultilevel"/>
    <w:tmpl w:val="D6B4371E"/>
    <w:lvl w:ilvl="0" w:tplc="CDE2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E4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8C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25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A8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4F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9672C8"/>
    <w:multiLevelType w:val="hybridMultilevel"/>
    <w:tmpl w:val="845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5AAE"/>
    <w:multiLevelType w:val="hybridMultilevel"/>
    <w:tmpl w:val="35D8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099C"/>
    <w:multiLevelType w:val="multilevel"/>
    <w:tmpl w:val="A4E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75173"/>
    <w:multiLevelType w:val="hybridMultilevel"/>
    <w:tmpl w:val="AC1E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51B9E"/>
    <w:multiLevelType w:val="hybridMultilevel"/>
    <w:tmpl w:val="759E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42124"/>
    <w:multiLevelType w:val="hybridMultilevel"/>
    <w:tmpl w:val="FB02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55DF0"/>
    <w:multiLevelType w:val="multilevel"/>
    <w:tmpl w:val="F034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90F9E"/>
    <w:multiLevelType w:val="hybridMultilevel"/>
    <w:tmpl w:val="1EE4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B0ECC"/>
    <w:multiLevelType w:val="hybridMultilevel"/>
    <w:tmpl w:val="2AC4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61F4B"/>
    <w:multiLevelType w:val="hybridMultilevel"/>
    <w:tmpl w:val="BB72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4A11"/>
    <w:multiLevelType w:val="hybridMultilevel"/>
    <w:tmpl w:val="737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F62F5"/>
    <w:multiLevelType w:val="hybridMultilevel"/>
    <w:tmpl w:val="FDEC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956B2"/>
    <w:multiLevelType w:val="hybridMultilevel"/>
    <w:tmpl w:val="6A00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A4561"/>
    <w:multiLevelType w:val="multilevel"/>
    <w:tmpl w:val="D7E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A04201"/>
    <w:multiLevelType w:val="hybridMultilevel"/>
    <w:tmpl w:val="84F8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36960"/>
    <w:multiLevelType w:val="hybridMultilevel"/>
    <w:tmpl w:val="6190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40432"/>
    <w:multiLevelType w:val="hybridMultilevel"/>
    <w:tmpl w:val="4356CF1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739432CE"/>
    <w:multiLevelType w:val="hybridMultilevel"/>
    <w:tmpl w:val="75DC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18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4"/>
  </w:num>
  <w:num w:numId="13">
    <w:abstractNumId w:val="3"/>
  </w:num>
  <w:num w:numId="14">
    <w:abstractNumId w:val="7"/>
  </w:num>
  <w:num w:numId="15">
    <w:abstractNumId w:val="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3EB"/>
    <w:rsid w:val="0000555C"/>
    <w:rsid w:val="00046191"/>
    <w:rsid w:val="0008632A"/>
    <w:rsid w:val="000B2CFB"/>
    <w:rsid w:val="000C2F13"/>
    <w:rsid w:val="000F2F9C"/>
    <w:rsid w:val="00106ED7"/>
    <w:rsid w:val="00111CEA"/>
    <w:rsid w:val="00186FC7"/>
    <w:rsid w:val="001A7B5B"/>
    <w:rsid w:val="00253A17"/>
    <w:rsid w:val="002A7E8F"/>
    <w:rsid w:val="003073EB"/>
    <w:rsid w:val="003338E5"/>
    <w:rsid w:val="00344A0C"/>
    <w:rsid w:val="003D5A5A"/>
    <w:rsid w:val="003E4329"/>
    <w:rsid w:val="004E30DA"/>
    <w:rsid w:val="0050758E"/>
    <w:rsid w:val="00511B34"/>
    <w:rsid w:val="00516805"/>
    <w:rsid w:val="00572CAC"/>
    <w:rsid w:val="00592CE2"/>
    <w:rsid w:val="005A1A3E"/>
    <w:rsid w:val="00651269"/>
    <w:rsid w:val="00715A28"/>
    <w:rsid w:val="0073187E"/>
    <w:rsid w:val="00746A90"/>
    <w:rsid w:val="008354CE"/>
    <w:rsid w:val="00841505"/>
    <w:rsid w:val="00852848"/>
    <w:rsid w:val="00890C04"/>
    <w:rsid w:val="00893B79"/>
    <w:rsid w:val="008E63F1"/>
    <w:rsid w:val="009656D3"/>
    <w:rsid w:val="009A5B60"/>
    <w:rsid w:val="009A5CFD"/>
    <w:rsid w:val="00A0791B"/>
    <w:rsid w:val="00AC5627"/>
    <w:rsid w:val="00AE4C23"/>
    <w:rsid w:val="00B205B2"/>
    <w:rsid w:val="00B41051"/>
    <w:rsid w:val="00B94697"/>
    <w:rsid w:val="00BC6990"/>
    <w:rsid w:val="00BF5CF8"/>
    <w:rsid w:val="00C31771"/>
    <w:rsid w:val="00C935AE"/>
    <w:rsid w:val="00CC2B76"/>
    <w:rsid w:val="00D25042"/>
    <w:rsid w:val="00D42843"/>
    <w:rsid w:val="00D73C4E"/>
    <w:rsid w:val="00DB02D4"/>
    <w:rsid w:val="00DB6A6E"/>
    <w:rsid w:val="00DC79DA"/>
    <w:rsid w:val="00E73638"/>
    <w:rsid w:val="00EE754F"/>
    <w:rsid w:val="00F2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paragraph" w:styleId="2">
    <w:name w:val="heading 2"/>
    <w:basedOn w:val="a"/>
    <w:link w:val="20"/>
    <w:uiPriority w:val="9"/>
    <w:qFormat/>
    <w:rsid w:val="003D5A5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A5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805"/>
  </w:style>
  <w:style w:type="paragraph" w:styleId="ab">
    <w:name w:val="footer"/>
    <w:basedOn w:val="a"/>
    <w:link w:val="ac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805"/>
  </w:style>
  <w:style w:type="paragraph" w:styleId="ad">
    <w:name w:val="Normal (Web)"/>
    <w:basedOn w:val="a"/>
    <w:uiPriority w:val="99"/>
    <w:unhideWhenUsed/>
    <w:rsid w:val="00893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93B79"/>
    <w:rPr>
      <w:i/>
      <w:iCs/>
    </w:rPr>
  </w:style>
  <w:style w:type="character" w:customStyle="1" w:styleId="sc">
    <w:name w:val="sc"/>
    <w:basedOn w:val="a0"/>
    <w:rsid w:val="00893B79"/>
  </w:style>
  <w:style w:type="character" w:styleId="af">
    <w:name w:val="FollowedHyperlink"/>
    <w:basedOn w:val="a0"/>
    <w:uiPriority w:val="99"/>
    <w:semiHidden/>
    <w:unhideWhenUsed/>
    <w:rsid w:val="00CC2B7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5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3661-CC36-4DD4-9C0E-F0A1B3D8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18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Иришка</cp:lastModifiedBy>
  <cp:revision>18</cp:revision>
  <cp:lastPrinted>2022-10-15T00:32:00Z</cp:lastPrinted>
  <dcterms:created xsi:type="dcterms:W3CDTF">2016-09-25T11:28:00Z</dcterms:created>
  <dcterms:modified xsi:type="dcterms:W3CDTF">2022-10-15T00:32:00Z</dcterms:modified>
</cp:coreProperties>
</file>