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  <w:lang w:val="ru-RU"/>
        </w:rPr>
        <w:t xml:space="preserve">План лечебных мероприятий у пациента </w:t>
      </w:r>
      <w:r>
        <w:rPr>
          <w:rFonts w:ascii="Times Roman" w:hAnsi="Times Roman"/>
          <w:shd w:val="clear" w:color="auto" w:fill="ffffff"/>
          <w:rtl w:val="0"/>
        </w:rPr>
        <w:t>12-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ти лет с диагнозом хронический катаральный гингивит</w:t>
      </w:r>
      <w:r>
        <w:rPr>
          <w:rFonts w:ascii="Times Roman" w:hAnsi="Times Roman"/>
          <w:shd w:val="clear" w:color="auto" w:fill="ffffff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 w:hint="default"/>
          <w:rtl w:val="0"/>
          <w:lang w:val="ru-RU"/>
        </w:rPr>
      </w:pPr>
      <w:r>
        <w:rPr>
          <w:rFonts w:ascii="Times Roman" w:hAnsi="Times Roman" w:hint="default"/>
          <w:shd w:val="clear" w:color="auto" w:fill="ffffff"/>
          <w:rtl w:val="0"/>
          <w:lang w:val="ru-RU"/>
        </w:rPr>
        <w:t>Устранение причины заболевания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Нормализация гигиенического состояния полости рта</w:t>
      </w:r>
      <w:r>
        <w:rPr>
          <w:rFonts w:ascii="Times Roman" w:hAnsi="Times Roman"/>
          <w:shd w:val="clear" w:color="auto" w:fill="ffffff"/>
          <w:rtl w:val="0"/>
          <w:lang w:val="de-DE"/>
        </w:rPr>
        <w:t xml:space="preserve">. ( 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проведение профессиональной гигиены полости рта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подбор индивидуальных предметов и средств гигиены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обучение методам чистки</w:t>
      </w:r>
      <w:r>
        <w:rPr>
          <w:rFonts w:ascii="Times Roman" w:hAnsi="Times Roman"/>
          <w:shd w:val="clear" w:color="auto" w:fill="ffffff"/>
          <w:rtl w:val="0"/>
        </w:rPr>
        <w:t>)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 w:hint="default"/>
          <w:rtl w:val="0"/>
          <w:lang w:val="ru-RU"/>
        </w:rPr>
      </w:pPr>
      <w:r>
        <w:rPr>
          <w:rFonts w:ascii="Times Roman" w:hAnsi="Times Roman" w:hint="default"/>
          <w:shd w:val="clear" w:color="auto" w:fill="ffffff"/>
          <w:rtl w:val="0"/>
          <w:lang w:val="ru-RU"/>
        </w:rPr>
        <w:t xml:space="preserve">Полоскание </w:t>
      </w:r>
      <w:r>
        <w:rPr>
          <w:rFonts w:ascii="Times Roman" w:hAnsi="Times Roman"/>
          <w:shd w:val="clear" w:color="auto" w:fill="ffffff"/>
          <w:rtl w:val="0"/>
          <w:lang w:val="de-DE"/>
        </w:rPr>
        <w:t xml:space="preserve">( 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ротовые ванночки</w:t>
      </w:r>
      <w:r>
        <w:rPr>
          <w:rFonts w:ascii="Times Roman" w:hAnsi="Times Roman"/>
          <w:shd w:val="clear" w:color="auto" w:fill="ffffff"/>
          <w:rtl w:val="0"/>
        </w:rPr>
        <w:t>)</w:t>
      </w:r>
      <w:r>
        <w:rPr>
          <w:rFonts w:ascii="Times Roman" w:hAnsi="Times Roman"/>
          <w:shd w:val="clear" w:color="auto" w:fill="ffffff"/>
          <w:rtl w:val="0"/>
          <w:lang w:val="ru-RU"/>
        </w:rPr>
        <w:t xml:space="preserve"> </w:t>
      </w:r>
      <w:r>
        <w:rPr>
          <w:rFonts w:ascii="Times Roman" w:hAnsi="Times Roman" w:hint="default"/>
          <w:shd w:val="clear" w:color="auto" w:fill="ffffff"/>
          <w:rtl w:val="0"/>
        </w:rPr>
        <w:t>ра</w:t>
      </w:r>
      <w:r>
        <w:rPr>
          <w:rFonts w:ascii="Times Roman" w:hAnsi="Times Roman"/>
          <w:shd w:val="clear" w:color="auto" w:fill="ffffff"/>
          <w:rtl w:val="0"/>
        </w:rPr>
        <w:t>-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 xml:space="preserve">ми антисептиков </w:t>
      </w:r>
      <w:r>
        <w:rPr>
          <w:rFonts w:ascii="Times Roman" w:hAnsi="Times Roman"/>
          <w:shd w:val="clear" w:color="auto" w:fill="ffffff"/>
          <w:rtl w:val="0"/>
          <w:lang w:val="de-DE"/>
        </w:rPr>
        <w:t xml:space="preserve">( 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фурацилин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«Мирамистин»</w:t>
      </w:r>
      <w:r>
        <w:rPr>
          <w:rFonts w:ascii="Times Roman" w:hAnsi="Times Roman"/>
          <w:shd w:val="clear" w:color="auto" w:fill="ffffff"/>
          <w:rtl w:val="0"/>
        </w:rPr>
        <w:t>)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 w:hint="default"/>
          <w:rtl w:val="0"/>
          <w:lang w:val="ru-RU"/>
        </w:rPr>
      </w:pPr>
      <w:r>
        <w:rPr>
          <w:rFonts w:ascii="Times Roman" w:hAnsi="Times Roman" w:hint="default"/>
          <w:shd w:val="clear" w:color="auto" w:fill="ffffff"/>
          <w:rtl w:val="0"/>
          <w:lang w:val="ru-RU"/>
        </w:rPr>
        <w:t xml:space="preserve">Полоскание противовоспалительными средствами растительного происхождения </w:t>
      </w:r>
      <w:r>
        <w:rPr>
          <w:rFonts w:ascii="Times Roman" w:hAnsi="Times Roman"/>
          <w:shd w:val="clear" w:color="auto" w:fill="ffffff"/>
          <w:rtl w:val="0"/>
        </w:rPr>
        <w:t>(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коланхоэ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календула</w:t>
      </w:r>
      <w:r>
        <w:rPr>
          <w:rFonts w:ascii="Times Roman" w:hAnsi="Times Roman"/>
          <w:shd w:val="clear" w:color="auto" w:fill="ffffff"/>
          <w:rtl w:val="0"/>
        </w:rPr>
        <w:t xml:space="preserve">, </w:t>
      </w:r>
      <w:r>
        <w:rPr>
          <w:rFonts w:ascii="Times Roman" w:hAnsi="Times Roman" w:hint="default"/>
          <w:shd w:val="clear" w:color="auto" w:fill="ffffff"/>
          <w:rtl w:val="0"/>
          <w:lang w:val="ru-RU"/>
        </w:rPr>
        <w:t>стоматофит</w:t>
      </w:r>
      <w:r>
        <w:rPr>
          <w:rFonts w:ascii="Times Roman" w:hAnsi="Times Roman"/>
          <w:shd w:val="clear" w:color="auto" w:fill="ffffff"/>
          <w:rtl w:val="0"/>
        </w:rPr>
        <w:t>)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 xml:space="preserve">Задача </w:t>
      </w:r>
      <w:r>
        <w:rPr>
          <w:rFonts w:ascii="Times Roman" w:hAnsi="Times Roman"/>
          <w:shd w:val="clear" w:color="auto" w:fill="ffffff"/>
          <w:rtl w:val="0"/>
        </w:rPr>
        <w:t>13:</w:t>
      </w:r>
    </w:p>
    <w:p>
      <w:pPr>
        <w:pStyle w:val="По умолчанию"/>
        <w:numPr>
          <w:ilvl w:val="0"/>
          <w:numId w:val="3"/>
        </w:numPr>
        <w:bidi w:val="0"/>
        <w:spacing w:before="0"/>
        <w:ind w:right="0"/>
        <w:jc w:val="left"/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Ds: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Хронический гипертрофический гингивит средней степени тяжести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отечная форма</w:t>
      </w:r>
    </w:p>
    <w:p>
      <w:pPr>
        <w:pStyle w:val="По умолчанию"/>
        <w:numPr>
          <w:ilvl w:val="0"/>
          <w:numId w:val="3"/>
        </w:numPr>
        <w:bidi w:val="0"/>
        <w:spacing w:before="0"/>
        <w:ind w:right="0"/>
        <w:jc w:val="left"/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ОПТГ для исключения деструкции костной ткани межзубных перегородок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рассчитать гигиенические и пародонтальные индексы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направить к педиатру для обследования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(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анализ кровии т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д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.)</w:t>
      </w:r>
    </w:p>
    <w:p>
      <w:pPr>
        <w:pStyle w:val="По умолчанию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Предполагаемые причины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гормональные сдвиги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(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юношеский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патология прикуса 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глубокий прикус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зубной камень</w:t>
      </w:r>
    </w:p>
    <w:p>
      <w:pPr>
        <w:pStyle w:val="По умолчанию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План лечения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: 1.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профессиональная гигиена полости рта</w:t>
      </w:r>
    </w:p>
    <w:p>
      <w:pPr>
        <w:pStyle w:val="По умолчанию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 xml:space="preserve">2.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обучение правилам индивидуальной гигиены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(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подбор индивидуальных средств  и предметов гигиены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использование ирригационных систем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позволяющих осуществлять более адекватный уход на участках с ложными пародонтальными карманами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>3.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Местное применение антибактериальных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противовоспалительных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противоотечных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кератолитических лекарственных средств – антисептиков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НПВС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средств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влияющих на микроциркуляцию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По умолчанию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>4.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Устранение факторов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усугубляющих патогенное воздействие микроорганизмов 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направить пациента к ортодонтудля устранения патологии прикуса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>5.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При неэффективности проводимого лечения показана склерозирующая терапия – инъекции в десневые сосочки гипертонических растворов следующих препаратов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: 10%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р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ор хлорида кальция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40%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р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ор глюкозы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10%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р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ор глюконата кальция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90%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р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ор этилового спирта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  <w:t xml:space="preserve">6.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При неэффективности склерозирующей терапии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гингивэктомия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20"/>
            <w:tab w:val="num" w:pos="720"/>
          </w:tabs>
          <w:ind w:left="144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20"/>
            <w:tab w:val="num" w:pos="940"/>
          </w:tabs>
          <w:ind w:left="166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20"/>
            <w:tab w:val="left" w:pos="720"/>
            <w:tab w:val="num" w:pos="1160"/>
          </w:tabs>
          <w:ind w:left="188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0"/>
            <w:tab w:val="left" w:pos="720"/>
            <w:tab w:val="num" w:pos="1380"/>
          </w:tabs>
          <w:ind w:left="210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20"/>
            <w:tab w:val="left" w:pos="720"/>
            <w:tab w:val="num" w:pos="1600"/>
          </w:tabs>
          <w:ind w:left="232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20"/>
            <w:tab w:val="left" w:pos="720"/>
            <w:tab w:val="num" w:pos="1820"/>
          </w:tabs>
          <w:ind w:left="254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20"/>
            <w:tab w:val="left" w:pos="720"/>
            <w:tab w:val="num" w:pos="2040"/>
          </w:tabs>
          <w:ind w:left="276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20"/>
            <w:tab w:val="left" w:pos="720"/>
            <w:tab w:val="num" w:pos="2260"/>
          </w:tabs>
          <w:ind w:left="298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20"/>
            <w:tab w:val="left" w:pos="720"/>
            <w:tab w:val="num" w:pos="2480"/>
          </w:tabs>
          <w:ind w:left="3200" w:hanging="12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