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31" w:rsidRPr="005F401A" w:rsidRDefault="00426631" w:rsidP="00426631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F401A">
        <w:rPr>
          <w:rFonts w:ascii="Times New Roman" w:hAnsi="Times New Roman"/>
          <w:b/>
          <w:sz w:val="24"/>
          <w:szCs w:val="24"/>
        </w:rPr>
        <w:t>Специальность 31.05.01.</w:t>
      </w:r>
      <w:r w:rsidR="005F401A">
        <w:rPr>
          <w:rFonts w:ascii="Times New Roman" w:hAnsi="Times New Roman"/>
          <w:b/>
          <w:sz w:val="24"/>
          <w:szCs w:val="24"/>
        </w:rPr>
        <w:t xml:space="preserve"> </w:t>
      </w:r>
      <w:r w:rsidRPr="005F401A">
        <w:rPr>
          <w:rFonts w:ascii="Times New Roman" w:hAnsi="Times New Roman"/>
          <w:b/>
          <w:sz w:val="24"/>
          <w:szCs w:val="24"/>
        </w:rPr>
        <w:t>«Лечебное дело»</w:t>
      </w:r>
    </w:p>
    <w:p w:rsidR="00426631" w:rsidRDefault="00426631" w:rsidP="0042663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26631" w:rsidRDefault="00426631" w:rsidP="0042663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Тема: «</w:t>
      </w:r>
      <w:r w:rsidRPr="00426631">
        <w:rPr>
          <w:rFonts w:ascii="Times New Roman" w:hAnsi="Times New Roman"/>
          <w:b/>
          <w:bCs/>
          <w:sz w:val="24"/>
          <w:szCs w:val="24"/>
        </w:rPr>
        <w:t>Лекарственные средства, влияющие на периферический отдел нервной системы. Введение в тему, классификация. Местные анестетики, обволакивающие, вяжущие, адсорбирующие и раздражающие средств</w:t>
      </w:r>
      <w:r>
        <w:rPr>
          <w:rFonts w:ascii="Times New Roman" w:hAnsi="Times New Roman"/>
          <w:b/>
          <w:bCs/>
          <w:sz w:val="24"/>
          <w:szCs w:val="24"/>
        </w:rPr>
        <w:t>а. Антихолинэстеразные средства»</w:t>
      </w:r>
    </w:p>
    <w:p w:rsidR="00426631" w:rsidRDefault="00426631" w:rsidP="00426631">
      <w:pPr>
        <w:pStyle w:val="a4"/>
        <w:spacing w:after="12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занятию необходимо знать: </w:t>
      </w:r>
    </w:p>
    <w:p w:rsidR="00426631" w:rsidRDefault="00426631" w:rsidP="00426631">
      <w:pPr>
        <w:pStyle w:val="a4"/>
        <w:spacing w:after="12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6631" w:rsidRDefault="00426631" w:rsidP="00426631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классификацию препаратов и фармакологическую характеристику групп:</w:t>
      </w:r>
    </w:p>
    <w:p w:rsidR="00426631" w:rsidRDefault="00426631" w:rsidP="00426631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Местные анестетики.</w:t>
      </w:r>
    </w:p>
    <w:p w:rsidR="00426631" w:rsidRDefault="00426631" w:rsidP="00426631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Обволакивающие, вяжущие, адсорбирующие ЛС</w:t>
      </w:r>
    </w:p>
    <w:p w:rsidR="00426631" w:rsidRDefault="00426631" w:rsidP="00426631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Раздражающие ЛС</w:t>
      </w:r>
    </w:p>
    <w:p w:rsidR="00426631" w:rsidRDefault="00426631" w:rsidP="00426631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Антихолинэстеразные ЛС</w:t>
      </w:r>
    </w:p>
    <w:p w:rsidR="00426631" w:rsidRPr="00426631" w:rsidRDefault="00426631" w:rsidP="00426631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426631">
        <w:rPr>
          <w:rFonts w:ascii="Times New Roman" w:hAnsi="Times New Roman"/>
          <w:b/>
          <w:bCs/>
          <w:sz w:val="24"/>
          <w:szCs w:val="24"/>
        </w:rPr>
        <w:t xml:space="preserve">Уметь охарактеризовать препарат по алгоритму характеристики лекарственного средства: </w:t>
      </w:r>
    </w:p>
    <w:p w:rsidR="00426631" w:rsidRPr="00593BFA" w:rsidRDefault="00426631" w:rsidP="00426631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3BFA">
        <w:rPr>
          <w:rFonts w:ascii="Times New Roman" w:hAnsi="Times New Roman"/>
          <w:b/>
          <w:bCs/>
          <w:i/>
          <w:sz w:val="24"/>
          <w:szCs w:val="24"/>
        </w:rPr>
        <w:t>Лидокаин</w:t>
      </w:r>
      <w:proofErr w:type="spellEnd"/>
    </w:p>
    <w:p w:rsidR="00593BFA" w:rsidRPr="00593BFA" w:rsidRDefault="005E521E" w:rsidP="00593BFA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3BFA">
        <w:rPr>
          <w:rFonts w:ascii="Times New Roman" w:hAnsi="Times New Roman"/>
          <w:b/>
          <w:bCs/>
          <w:i/>
          <w:sz w:val="24"/>
          <w:szCs w:val="24"/>
        </w:rPr>
        <w:t>Неостигмина</w:t>
      </w:r>
      <w:proofErr w:type="spellEnd"/>
      <w:r w:rsidRPr="00593BF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93BFA">
        <w:rPr>
          <w:rFonts w:ascii="Times New Roman" w:hAnsi="Times New Roman"/>
          <w:b/>
          <w:bCs/>
          <w:i/>
          <w:sz w:val="24"/>
          <w:szCs w:val="24"/>
        </w:rPr>
        <w:t>метилсульфат</w:t>
      </w:r>
      <w:proofErr w:type="spellEnd"/>
      <w:r w:rsidRPr="00593BFA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proofErr w:type="spellStart"/>
      <w:r w:rsidRPr="00593BFA">
        <w:rPr>
          <w:rFonts w:ascii="Times New Roman" w:hAnsi="Times New Roman"/>
          <w:b/>
          <w:bCs/>
          <w:i/>
          <w:sz w:val="24"/>
          <w:szCs w:val="24"/>
        </w:rPr>
        <w:t>прозерин</w:t>
      </w:r>
      <w:proofErr w:type="spellEnd"/>
      <w:r w:rsidRPr="00593BFA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426631" w:rsidRPr="005F401A" w:rsidRDefault="005E521E" w:rsidP="005F401A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Владеть правилами прописи</w:t>
      </w:r>
      <w:r w:rsidR="00426631" w:rsidRPr="005E521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знать групповую принадлежность, механизм действия, фармакологические эффекты, показания к применению следующих лекарственных препаратов:</w:t>
      </w:r>
      <w:r w:rsidR="00DD2D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D2D57">
        <w:rPr>
          <w:rFonts w:ascii="Times New Roman" w:hAnsi="Times New Roman"/>
          <w:bCs/>
          <w:sz w:val="24"/>
          <w:szCs w:val="24"/>
        </w:rPr>
        <w:t>прокаин</w:t>
      </w:r>
      <w:proofErr w:type="spellEnd"/>
      <w:r w:rsidR="00DD2D57">
        <w:rPr>
          <w:rFonts w:ascii="Times New Roman" w:hAnsi="Times New Roman"/>
          <w:bCs/>
          <w:sz w:val="24"/>
          <w:szCs w:val="24"/>
        </w:rPr>
        <w:t xml:space="preserve"> (раствор для инъекций), </w:t>
      </w:r>
      <w:proofErr w:type="spellStart"/>
      <w:r w:rsidR="00DD2D57">
        <w:rPr>
          <w:rFonts w:ascii="Times New Roman" w:hAnsi="Times New Roman"/>
          <w:bCs/>
          <w:sz w:val="24"/>
          <w:szCs w:val="24"/>
        </w:rPr>
        <w:t>артикаин</w:t>
      </w:r>
      <w:proofErr w:type="spellEnd"/>
      <w:r w:rsidR="00DD2D57">
        <w:rPr>
          <w:rFonts w:ascii="Times New Roman" w:hAnsi="Times New Roman"/>
          <w:bCs/>
          <w:sz w:val="24"/>
          <w:szCs w:val="24"/>
        </w:rPr>
        <w:t xml:space="preserve"> (раствор для инъекций), активированный уголь </w:t>
      </w:r>
      <w:r w:rsidR="009562A3">
        <w:rPr>
          <w:rFonts w:ascii="Times New Roman" w:hAnsi="Times New Roman"/>
          <w:bCs/>
          <w:sz w:val="24"/>
          <w:szCs w:val="24"/>
        </w:rPr>
        <w:t xml:space="preserve">(таблетки), </w:t>
      </w:r>
      <w:proofErr w:type="spellStart"/>
      <w:r w:rsidR="009562A3">
        <w:rPr>
          <w:rFonts w:ascii="Times New Roman" w:hAnsi="Times New Roman"/>
          <w:bCs/>
          <w:sz w:val="24"/>
          <w:szCs w:val="24"/>
        </w:rPr>
        <w:t>смекта</w:t>
      </w:r>
      <w:proofErr w:type="spellEnd"/>
      <w:r w:rsidR="009562A3">
        <w:rPr>
          <w:rFonts w:ascii="Times New Roman" w:hAnsi="Times New Roman"/>
          <w:bCs/>
          <w:sz w:val="24"/>
          <w:szCs w:val="24"/>
        </w:rPr>
        <w:t xml:space="preserve"> (порошок для приготовления суспензии), трава з</w:t>
      </w:r>
      <w:r w:rsidR="005F401A">
        <w:rPr>
          <w:rFonts w:ascii="Times New Roman" w:hAnsi="Times New Roman"/>
          <w:bCs/>
          <w:sz w:val="24"/>
          <w:szCs w:val="24"/>
        </w:rPr>
        <w:t>веробоя</w:t>
      </w:r>
      <w:r w:rsidR="0073407E">
        <w:rPr>
          <w:rFonts w:ascii="Times New Roman" w:hAnsi="Times New Roman"/>
          <w:bCs/>
          <w:sz w:val="24"/>
          <w:szCs w:val="24"/>
        </w:rPr>
        <w:t xml:space="preserve"> </w:t>
      </w:r>
      <w:r w:rsidR="00593BFA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593BFA">
        <w:rPr>
          <w:rFonts w:ascii="Times New Roman" w:hAnsi="Times New Roman"/>
          <w:bCs/>
          <w:sz w:val="24"/>
          <w:szCs w:val="24"/>
          <w:lang w:val="en-US"/>
        </w:rPr>
        <w:t>Hyperici</w:t>
      </w:r>
      <w:proofErr w:type="spellEnd"/>
      <w:r w:rsidR="00593BFA" w:rsidRPr="00593B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3BFA">
        <w:rPr>
          <w:rFonts w:ascii="Times New Roman" w:hAnsi="Times New Roman"/>
          <w:bCs/>
          <w:sz w:val="24"/>
          <w:szCs w:val="24"/>
          <w:lang w:val="en-US"/>
        </w:rPr>
        <w:t>herba</w:t>
      </w:r>
      <w:proofErr w:type="spellEnd"/>
      <w:r w:rsidR="00593BFA" w:rsidRPr="00593BFA">
        <w:rPr>
          <w:rFonts w:ascii="Times New Roman" w:hAnsi="Times New Roman"/>
          <w:bCs/>
          <w:sz w:val="24"/>
          <w:szCs w:val="24"/>
        </w:rPr>
        <w:t>)</w:t>
      </w:r>
      <w:r w:rsidR="005F401A">
        <w:rPr>
          <w:rFonts w:ascii="Times New Roman" w:hAnsi="Times New Roman"/>
          <w:bCs/>
          <w:sz w:val="24"/>
          <w:szCs w:val="24"/>
        </w:rPr>
        <w:t>, плоды черники</w:t>
      </w:r>
      <w:r w:rsidR="00593BFA" w:rsidRPr="00593BFA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593BFA">
        <w:rPr>
          <w:rFonts w:ascii="Times New Roman" w:hAnsi="Times New Roman"/>
          <w:bCs/>
          <w:sz w:val="24"/>
          <w:szCs w:val="24"/>
          <w:lang w:val="en-US"/>
        </w:rPr>
        <w:t>Murtilli</w:t>
      </w:r>
      <w:proofErr w:type="spellEnd"/>
      <w:r w:rsidR="00593BFA" w:rsidRPr="00593B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3BFA">
        <w:rPr>
          <w:rFonts w:ascii="Times New Roman" w:hAnsi="Times New Roman"/>
          <w:bCs/>
          <w:sz w:val="24"/>
          <w:szCs w:val="24"/>
          <w:lang w:val="en-US"/>
        </w:rPr>
        <w:t>fructus</w:t>
      </w:r>
      <w:proofErr w:type="spellEnd"/>
      <w:r w:rsidR="00593BFA" w:rsidRPr="00593BFA">
        <w:rPr>
          <w:rFonts w:ascii="Times New Roman" w:hAnsi="Times New Roman"/>
          <w:bCs/>
          <w:sz w:val="24"/>
          <w:szCs w:val="24"/>
        </w:rPr>
        <w:t>)</w:t>
      </w:r>
      <w:r w:rsidR="005F401A">
        <w:rPr>
          <w:rFonts w:ascii="Times New Roman" w:hAnsi="Times New Roman"/>
          <w:bCs/>
          <w:sz w:val="24"/>
          <w:szCs w:val="24"/>
        </w:rPr>
        <w:t>, аммиак (</w:t>
      </w:r>
      <w:r w:rsidR="009562A3">
        <w:rPr>
          <w:rFonts w:ascii="Times New Roman" w:hAnsi="Times New Roman"/>
          <w:bCs/>
          <w:sz w:val="24"/>
          <w:szCs w:val="24"/>
        </w:rPr>
        <w:t xml:space="preserve">раствор для наружного применения), </w:t>
      </w:r>
      <w:r w:rsidR="005F401A">
        <w:rPr>
          <w:rFonts w:ascii="Times New Roman" w:hAnsi="Times New Roman"/>
          <w:bCs/>
          <w:sz w:val="24"/>
          <w:szCs w:val="24"/>
        </w:rPr>
        <w:t xml:space="preserve">валидол (таблетки для рассасывания), </w:t>
      </w:r>
      <w:proofErr w:type="spellStart"/>
      <w:r w:rsidR="005F401A">
        <w:rPr>
          <w:rFonts w:ascii="Times New Roman" w:hAnsi="Times New Roman"/>
          <w:bCs/>
          <w:sz w:val="24"/>
          <w:szCs w:val="24"/>
        </w:rPr>
        <w:t>левоментол</w:t>
      </w:r>
      <w:proofErr w:type="spellEnd"/>
      <w:r w:rsidR="00DD2D57">
        <w:rPr>
          <w:rFonts w:ascii="Times New Roman" w:hAnsi="Times New Roman"/>
          <w:bCs/>
          <w:sz w:val="24"/>
          <w:szCs w:val="24"/>
        </w:rPr>
        <w:t xml:space="preserve"> </w:t>
      </w:r>
      <w:r w:rsidR="005F401A">
        <w:rPr>
          <w:rFonts w:ascii="Times New Roman" w:hAnsi="Times New Roman"/>
          <w:bCs/>
          <w:sz w:val="24"/>
          <w:szCs w:val="24"/>
        </w:rPr>
        <w:t xml:space="preserve">(масляный раствор для наружного применения), </w:t>
      </w:r>
      <w:proofErr w:type="spellStart"/>
      <w:r w:rsidR="00DD2D57">
        <w:rPr>
          <w:rFonts w:ascii="Times New Roman" w:hAnsi="Times New Roman"/>
          <w:bCs/>
          <w:sz w:val="24"/>
          <w:szCs w:val="24"/>
        </w:rPr>
        <w:t>галантамин</w:t>
      </w:r>
      <w:proofErr w:type="spellEnd"/>
      <w:r w:rsidR="00DD2D57">
        <w:rPr>
          <w:rFonts w:ascii="Times New Roman" w:hAnsi="Times New Roman"/>
          <w:bCs/>
          <w:sz w:val="24"/>
          <w:szCs w:val="24"/>
        </w:rPr>
        <w:t xml:space="preserve"> (капсулы, раствор для и</w:t>
      </w:r>
      <w:r w:rsidR="00593BFA">
        <w:rPr>
          <w:rFonts w:ascii="Times New Roman" w:hAnsi="Times New Roman"/>
          <w:bCs/>
          <w:sz w:val="24"/>
          <w:szCs w:val="24"/>
        </w:rPr>
        <w:t>нъекций</w:t>
      </w:r>
      <w:proofErr w:type="gramEnd"/>
      <w:r w:rsidR="00593BFA">
        <w:rPr>
          <w:rFonts w:ascii="Times New Roman" w:hAnsi="Times New Roman"/>
          <w:bCs/>
          <w:sz w:val="24"/>
          <w:szCs w:val="24"/>
        </w:rPr>
        <w:t xml:space="preserve">),  </w:t>
      </w:r>
      <w:proofErr w:type="spellStart"/>
      <w:r w:rsidR="00593BFA">
        <w:rPr>
          <w:rFonts w:ascii="Times New Roman" w:hAnsi="Times New Roman"/>
          <w:bCs/>
          <w:sz w:val="24"/>
          <w:szCs w:val="24"/>
        </w:rPr>
        <w:t>ривастигмин</w:t>
      </w:r>
      <w:proofErr w:type="spellEnd"/>
      <w:r w:rsidR="00593BFA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593BFA">
        <w:rPr>
          <w:rFonts w:ascii="Times New Roman" w:hAnsi="Times New Roman"/>
          <w:bCs/>
          <w:sz w:val="24"/>
          <w:szCs w:val="24"/>
        </w:rPr>
        <w:t>трансдермальная</w:t>
      </w:r>
      <w:proofErr w:type="spellEnd"/>
      <w:r w:rsidR="00593BFA">
        <w:rPr>
          <w:rFonts w:ascii="Times New Roman" w:hAnsi="Times New Roman"/>
          <w:bCs/>
          <w:sz w:val="24"/>
          <w:szCs w:val="24"/>
        </w:rPr>
        <w:t xml:space="preserve"> терапевтическая система (</w:t>
      </w:r>
      <w:r w:rsidR="00593BFA">
        <w:rPr>
          <w:rFonts w:ascii="Times New Roman" w:hAnsi="Times New Roman"/>
          <w:bCs/>
          <w:sz w:val="24"/>
          <w:szCs w:val="24"/>
          <w:lang w:val="en-US"/>
        </w:rPr>
        <w:t>TTS</w:t>
      </w:r>
      <w:r w:rsidR="00593BFA">
        <w:rPr>
          <w:rFonts w:ascii="Times New Roman" w:hAnsi="Times New Roman"/>
          <w:bCs/>
          <w:sz w:val="24"/>
          <w:szCs w:val="24"/>
        </w:rPr>
        <w:t>)</w:t>
      </w:r>
      <w:r w:rsidR="00DD2D57">
        <w:rPr>
          <w:rFonts w:ascii="Times New Roman" w:hAnsi="Times New Roman"/>
          <w:bCs/>
          <w:sz w:val="24"/>
          <w:szCs w:val="24"/>
        </w:rPr>
        <w:t xml:space="preserve">, раствор для приема внутрь), </w:t>
      </w:r>
      <w:proofErr w:type="spellStart"/>
      <w:r w:rsidR="00DD2D57">
        <w:rPr>
          <w:rFonts w:ascii="Times New Roman" w:hAnsi="Times New Roman"/>
          <w:bCs/>
          <w:sz w:val="24"/>
          <w:szCs w:val="24"/>
        </w:rPr>
        <w:t>ипидакрин</w:t>
      </w:r>
      <w:proofErr w:type="spellEnd"/>
      <w:r w:rsidR="00DD2D57">
        <w:rPr>
          <w:rFonts w:ascii="Times New Roman" w:hAnsi="Times New Roman"/>
          <w:bCs/>
          <w:sz w:val="24"/>
          <w:szCs w:val="24"/>
        </w:rPr>
        <w:t xml:space="preserve"> (таблетки, раствор для инъекций)</w:t>
      </w:r>
    </w:p>
    <w:p w:rsidR="00426631" w:rsidRDefault="00426631" w:rsidP="00593B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Рекомендованная литература по теме занятия</w:t>
      </w:r>
    </w:p>
    <w:p w:rsidR="005E521E" w:rsidRPr="005E521E" w:rsidRDefault="005E521E" w:rsidP="00593BFA">
      <w:pPr>
        <w:tabs>
          <w:tab w:val="num" w:pos="284"/>
        </w:tabs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5E521E" w:rsidRPr="005E521E" w:rsidRDefault="005E521E" w:rsidP="00593BFA">
      <w:pPr>
        <w:pStyle w:val="a4"/>
        <w:numPr>
          <w:ilvl w:val="0"/>
          <w:numId w:val="4"/>
        </w:numPr>
        <w:tabs>
          <w:tab w:val="num" w:pos="28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E521E">
        <w:rPr>
          <w:rFonts w:ascii="Times New Roman" w:hAnsi="Times New Roman"/>
          <w:bCs/>
          <w:sz w:val="24"/>
          <w:szCs w:val="24"/>
        </w:rPr>
        <w:t>Харкевич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 xml:space="preserve">, Д. А. </w:t>
      </w:r>
      <w:r>
        <w:rPr>
          <w:rFonts w:ascii="Times New Roman" w:hAnsi="Times New Roman"/>
          <w:bCs/>
          <w:sz w:val="24"/>
          <w:szCs w:val="24"/>
        </w:rPr>
        <w:t>Фармакология</w:t>
      </w:r>
      <w:r w:rsidRPr="005E521E">
        <w:rPr>
          <w:rFonts w:ascii="Times New Roman" w:hAnsi="Times New Roman"/>
          <w:bCs/>
          <w:sz w:val="24"/>
          <w:szCs w:val="24"/>
        </w:rPr>
        <w:t xml:space="preserve">: учебник / Д. А.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Харкевич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 xml:space="preserve">. - 11- изд.,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>. и доп. - М.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ГЭОТАР-Медиа, 2015.</w:t>
      </w:r>
    </w:p>
    <w:p w:rsidR="005E521E" w:rsidRPr="005E521E" w:rsidRDefault="005E521E" w:rsidP="00593BFA">
      <w:pPr>
        <w:tabs>
          <w:tab w:val="num" w:pos="284"/>
        </w:tabs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E521E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5E521E" w:rsidRPr="005E521E" w:rsidRDefault="005E521E" w:rsidP="00593BFA">
      <w:pPr>
        <w:pStyle w:val="a4"/>
        <w:numPr>
          <w:ilvl w:val="0"/>
          <w:numId w:val="5"/>
        </w:numPr>
        <w:tabs>
          <w:tab w:val="num" w:pos="28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21E">
        <w:rPr>
          <w:rFonts w:ascii="Times New Roman" w:hAnsi="Times New Roman"/>
          <w:bCs/>
          <w:sz w:val="24"/>
          <w:szCs w:val="24"/>
        </w:rPr>
        <w:t>Фармакология : учеб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ля вузов / ред. Р. Н.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Аляутдин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 xml:space="preserve">. - 4-е изд.,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>. и доп. - М. : ГЭОТАР-Медиа, 2008. - 826 с : ил. + CD.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1250.00</w:t>
      </w:r>
    </w:p>
    <w:p w:rsidR="005E521E" w:rsidRDefault="005E521E" w:rsidP="00593BFA">
      <w:pPr>
        <w:pStyle w:val="a4"/>
        <w:numPr>
          <w:ilvl w:val="0"/>
          <w:numId w:val="5"/>
        </w:numPr>
        <w:tabs>
          <w:tab w:val="num" w:pos="28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21E">
        <w:rPr>
          <w:rFonts w:ascii="Times New Roman" w:hAnsi="Times New Roman"/>
          <w:bCs/>
          <w:sz w:val="24"/>
          <w:szCs w:val="24"/>
        </w:rPr>
        <w:t>Регистр лекарственных средств России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Энциклопедия лекарств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ежегод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 xml:space="preserve">. сб.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 xml:space="preserve">. 22. 2014 / гл. ред. Г. Л.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Вышковский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>. - М.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ВЕДАНТА, 2013. - 1428 с. - (РЛС). - ISBN 4650059080728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1000.00</w:t>
      </w:r>
    </w:p>
    <w:p w:rsidR="005E521E" w:rsidRDefault="005E521E" w:rsidP="005E521E">
      <w:pPr>
        <w:pStyle w:val="a4"/>
        <w:numPr>
          <w:ilvl w:val="0"/>
          <w:numId w:val="5"/>
        </w:numPr>
        <w:tabs>
          <w:tab w:val="num" w:pos="28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21E">
        <w:rPr>
          <w:rFonts w:ascii="Times New Roman" w:hAnsi="Times New Roman"/>
          <w:bCs/>
          <w:sz w:val="24"/>
          <w:szCs w:val="24"/>
        </w:rPr>
        <w:t xml:space="preserve">Энциклопедия взаимодействий лекарственных препаратов / ред. Г. Л.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Вышковский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>, Е. Г. Лобанова. - М.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ВЕДАНТА, 2013. - 1360 с. - (РЛС). - ISBN 9785990457737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1200.00</w:t>
      </w:r>
    </w:p>
    <w:p w:rsidR="005E521E" w:rsidRDefault="005E521E" w:rsidP="005E521E">
      <w:pPr>
        <w:pStyle w:val="a4"/>
        <w:numPr>
          <w:ilvl w:val="0"/>
          <w:numId w:val="5"/>
        </w:numPr>
        <w:tabs>
          <w:tab w:val="num" w:pos="28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21E">
        <w:rPr>
          <w:rFonts w:ascii="Times New Roman" w:hAnsi="Times New Roman"/>
          <w:bCs/>
          <w:sz w:val="24"/>
          <w:szCs w:val="24"/>
        </w:rPr>
        <w:t xml:space="preserve">Майский, В.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В.Фармакология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 xml:space="preserve"> с общей рецептурой [Электронный ресурс] : учеб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особие / В. В. Майский, Р. Н.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Аляутдин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 xml:space="preserve">. - 3-е изд., доп. и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>. - М.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ГЭОТАР-Медиа, 2014. - 240 с. : ил.</w:t>
      </w:r>
    </w:p>
    <w:p w:rsidR="005E521E" w:rsidRPr="005E521E" w:rsidRDefault="005E521E" w:rsidP="005E521E">
      <w:pPr>
        <w:pStyle w:val="a4"/>
        <w:numPr>
          <w:ilvl w:val="0"/>
          <w:numId w:val="5"/>
        </w:numPr>
        <w:tabs>
          <w:tab w:val="num" w:pos="28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21E">
        <w:rPr>
          <w:rFonts w:ascii="Times New Roman" w:hAnsi="Times New Roman"/>
          <w:bCs/>
          <w:sz w:val="24"/>
          <w:szCs w:val="24"/>
        </w:rPr>
        <w:t>Венгеровский, А. 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521E">
        <w:rPr>
          <w:rFonts w:ascii="Times New Roman" w:hAnsi="Times New Roman"/>
          <w:bCs/>
          <w:sz w:val="24"/>
          <w:szCs w:val="24"/>
        </w:rPr>
        <w:t>Фармакология. Курс лекций [Электронный ресурс] : учеб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E521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E521E">
        <w:rPr>
          <w:rFonts w:ascii="Times New Roman" w:hAnsi="Times New Roman"/>
          <w:bCs/>
          <w:sz w:val="24"/>
          <w:szCs w:val="24"/>
        </w:rPr>
        <w:t xml:space="preserve">особие / А. И. Венгеровский. - 4-е изд., </w:t>
      </w:r>
      <w:proofErr w:type="spellStart"/>
      <w:r w:rsidRPr="005E521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E521E">
        <w:rPr>
          <w:rFonts w:ascii="Times New Roman" w:hAnsi="Times New Roman"/>
          <w:bCs/>
          <w:sz w:val="24"/>
          <w:szCs w:val="24"/>
        </w:rPr>
        <w:t>. и доп. - М. : ГЭОТАР-Медиа, 2015.</w:t>
      </w:r>
    </w:p>
    <w:p w:rsidR="005E521E" w:rsidRPr="005E521E" w:rsidRDefault="005E521E" w:rsidP="005E521E">
      <w:pPr>
        <w:tabs>
          <w:tab w:val="num" w:pos="284"/>
        </w:tabs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E521E">
        <w:rPr>
          <w:rFonts w:ascii="Times New Roman" w:hAnsi="Times New Roman"/>
          <w:b/>
          <w:bCs/>
          <w:sz w:val="24"/>
          <w:szCs w:val="24"/>
        </w:rPr>
        <w:t>Электронные ресурсы</w:t>
      </w:r>
    </w:p>
    <w:p w:rsidR="005E521E" w:rsidRPr="005E521E" w:rsidRDefault="005E521E" w:rsidP="005E521E">
      <w:pPr>
        <w:tabs>
          <w:tab w:val="num" w:pos="284"/>
        </w:tabs>
        <w:spacing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521E">
        <w:rPr>
          <w:rFonts w:ascii="Times New Roman" w:hAnsi="Times New Roman"/>
          <w:bCs/>
          <w:sz w:val="24"/>
          <w:szCs w:val="24"/>
        </w:rPr>
        <w:t>Инструкции к лекарственным препаратам (http://www.grls.rosminzdrav.ru)</w:t>
      </w:r>
    </w:p>
    <w:p w:rsidR="00453FFB" w:rsidRPr="00593BFA" w:rsidRDefault="00453FFB" w:rsidP="00C005E2">
      <w:pPr>
        <w:tabs>
          <w:tab w:val="num" w:pos="284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453FFB" w:rsidRPr="00593BFA" w:rsidSect="005E52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D22"/>
    <w:multiLevelType w:val="hybridMultilevel"/>
    <w:tmpl w:val="6B8080B2"/>
    <w:lvl w:ilvl="0" w:tplc="036A7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4E640D"/>
    <w:multiLevelType w:val="hybridMultilevel"/>
    <w:tmpl w:val="0F103840"/>
    <w:lvl w:ilvl="0" w:tplc="31AABE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A4B20"/>
    <w:multiLevelType w:val="hybridMultilevel"/>
    <w:tmpl w:val="B97EAE5E"/>
    <w:lvl w:ilvl="0" w:tplc="F564B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2A10CA"/>
    <w:multiLevelType w:val="hybridMultilevel"/>
    <w:tmpl w:val="B0B241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3A7FE9"/>
    <w:multiLevelType w:val="hybridMultilevel"/>
    <w:tmpl w:val="56BA7F32"/>
    <w:lvl w:ilvl="0" w:tplc="8020EAB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657E6CAD"/>
    <w:multiLevelType w:val="hybridMultilevel"/>
    <w:tmpl w:val="FABA472C"/>
    <w:lvl w:ilvl="0" w:tplc="1B76C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B00A3"/>
    <w:multiLevelType w:val="hybridMultilevel"/>
    <w:tmpl w:val="061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F58CE"/>
    <w:multiLevelType w:val="hybridMultilevel"/>
    <w:tmpl w:val="E8F83882"/>
    <w:lvl w:ilvl="0" w:tplc="11621D28">
      <w:start w:val="1"/>
      <w:numFmt w:val="decimal"/>
      <w:lvlText w:val="%1."/>
      <w:lvlJc w:val="left"/>
      <w:pPr>
        <w:ind w:left="21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6E"/>
    <w:rsid w:val="003D4C04"/>
    <w:rsid w:val="00426631"/>
    <w:rsid w:val="00453FFB"/>
    <w:rsid w:val="00593BFA"/>
    <w:rsid w:val="005E521E"/>
    <w:rsid w:val="005F401A"/>
    <w:rsid w:val="0073407E"/>
    <w:rsid w:val="0087446E"/>
    <w:rsid w:val="009562A3"/>
    <w:rsid w:val="00C005E2"/>
    <w:rsid w:val="00DD2D57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Веселова </cp:lastModifiedBy>
  <cp:revision>3</cp:revision>
  <cp:lastPrinted>2018-09-11T02:12:00Z</cp:lastPrinted>
  <dcterms:created xsi:type="dcterms:W3CDTF">2018-09-11T02:13:00Z</dcterms:created>
  <dcterms:modified xsi:type="dcterms:W3CDTF">2018-09-11T02:14:00Z</dcterms:modified>
</cp:coreProperties>
</file>