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3E" w:rsidRPr="000D6976" w:rsidRDefault="00A20ABB" w:rsidP="00A20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976">
        <w:rPr>
          <w:rFonts w:ascii="Times New Roman" w:hAnsi="Times New Roman" w:cs="Times New Roman"/>
          <w:b/>
          <w:sz w:val="28"/>
          <w:szCs w:val="28"/>
        </w:rPr>
        <w:t>Болезнь Фара</w:t>
      </w:r>
    </w:p>
    <w:p w:rsidR="00A20ABB" w:rsidRPr="00A20ABB" w:rsidRDefault="00A20ABB" w:rsidP="00A20ABB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0AB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Болезнь Фара</w:t>
      </w:r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идиопатическая симметричная </w:t>
      </w:r>
      <w:proofErr w:type="spellStart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>кальцификация</w:t>
      </w:r>
      <w:proofErr w:type="spellEnd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церебральных структур: подкорковых ганглиев, коры полушарий, мозжечка. Может протекать бессимптомно, клинически проявляется экстрапирамидными расстройствами (гиперкинезами, паркинсонизмо</w:t>
      </w:r>
      <w:bookmarkStart w:id="0" w:name="_GoBack"/>
      <w:bookmarkEnd w:id="0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м), мозжечковыми нарушениями, интеллектуальным снижением. Диагностируется по данным церебральной КТ при исключении вторичного характера кальцинированных очагов по результатам биохимических, ультразвуковых, ПЦР исследований. Лечение симптоматическое с применением средств, улучшающих тканевый обмен, </w:t>
      </w:r>
      <w:proofErr w:type="spellStart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>цитопротекторов</w:t>
      </w:r>
      <w:proofErr w:type="spellEnd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препаратов </w:t>
      </w:r>
      <w:proofErr w:type="spellStart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>леводопы</w:t>
      </w:r>
      <w:proofErr w:type="spellEnd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>, антиконвульсантов.</w:t>
      </w:r>
    </w:p>
    <w:p w:rsidR="00A20ABB" w:rsidRDefault="00A20ABB" w:rsidP="00A20ABB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Болезнь Фара включает случаи первичного идиопатического отложения кальция в мозговых структурах, вторичные формы церебрального </w:t>
      </w:r>
      <w:proofErr w:type="spellStart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>кальциноза</w:t>
      </w:r>
      <w:proofErr w:type="spellEnd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данной патологии не рассматриваются. Первые подробные описания заболевания сделаны в 1930 году немецким невропатологом К.Т. </w:t>
      </w:r>
      <w:proofErr w:type="spellStart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>Фаром</w:t>
      </w:r>
      <w:proofErr w:type="spellEnd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Болезнь Фара является редкой нозологией, распространённость составляет менее 1 случая на 1 млн. населения. Гендерные различия в заболеваемости выражаются соотношением мужчин и женщин 2:1. Патология проявляется в любом возрастном периоде, чаще в 30-60 лет. Прижизненно выявляется лишь в 1-2% случаев, что объясняется наличием бессимптомных вариантов течения, диагностикой заболевания под видом иных </w:t>
      </w:r>
      <w:proofErr w:type="spellStart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>нейродегенеративных</w:t>
      </w:r>
      <w:proofErr w:type="spellEnd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процессов (</w:t>
      </w:r>
      <w:hyperlink r:id="rId6" w:history="1">
        <w:r w:rsidRPr="00A20AB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болезни Паркинсона</w:t>
        </w:r>
      </w:hyperlink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7" w:history="1">
        <w:r w:rsidRPr="00A20AB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сенильной хореи</w:t>
        </w:r>
      </w:hyperlink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A20ABB" w:rsidRDefault="00A20ABB" w:rsidP="00A20ABB">
      <w:pPr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0A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Этиология</w:t>
      </w:r>
    </w:p>
    <w:p w:rsidR="00A20ABB" w:rsidRDefault="00A20ABB" w:rsidP="00A20ABB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0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Приводящие к возникновению заболевания этиологические факторы точно не установлены. Предполагают генетический характер патологии с локализацией нарушений в четырнадцатой (локус 14q13), второй (локус 2q37) хромосомах, хромосомном участке q21.1-q11.23 восьмой хромосомы. При исследовании семейных случаев </w:t>
      </w:r>
      <w:proofErr w:type="gramStart"/>
      <w:r w:rsidRPr="00A20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выявлена</w:t>
      </w:r>
      <w:proofErr w:type="gramEnd"/>
      <w:r w:rsidRPr="00A20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генетическая гетерогенность. Установлены варианты, когда болезнь наследовалась аутосомно-доминантным и Х-сцепленным путём. Описаны спорадические случаи, при которых семейный характер патологии не прослеживается. Известно, что клиническая манифестация происходит, когда общий объём </w:t>
      </w:r>
      <w:proofErr w:type="spellStart"/>
      <w:r w:rsidRPr="00A20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кальцификатов</w:t>
      </w:r>
      <w:proofErr w:type="spellEnd"/>
      <w:r w:rsidRPr="00A20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достигает критической величины - 3,9 см³.</w:t>
      </w:r>
    </w:p>
    <w:p w:rsidR="00A20ABB" w:rsidRDefault="00A20ABB" w:rsidP="00A20ABB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20A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Патогенез</w:t>
      </w:r>
    </w:p>
    <w:p w:rsidR="00A20ABB" w:rsidRPr="00A20ABB" w:rsidRDefault="00A20ABB" w:rsidP="00A20A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20ABB">
        <w:t xml:space="preserve">Формирующие болезнь патогенетические механизмы окончательно не определены. Предполагаются генетически детерминированные сдвиги церебрального метаболизма, становящиеся причиной отложения в мозговых тканях избытков кальция. Выраженная </w:t>
      </w:r>
      <w:proofErr w:type="spellStart"/>
      <w:r w:rsidRPr="00A20ABB">
        <w:t>кальцификация</w:t>
      </w:r>
      <w:proofErr w:type="spellEnd"/>
      <w:r w:rsidRPr="00A20ABB">
        <w:t xml:space="preserve"> подкорковых образований становится причиной дезорганизации лобно-субкортикальной системы, регулирующей произвольные движения и обеспечивающей когнитивные функции (память, мышление, внимание).</w:t>
      </w:r>
    </w:p>
    <w:p w:rsidR="00A20ABB" w:rsidRDefault="00A20ABB" w:rsidP="00A20A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20ABB">
        <w:t xml:space="preserve">Морфологически </w:t>
      </w:r>
      <w:proofErr w:type="spellStart"/>
      <w:r w:rsidRPr="00A20ABB">
        <w:t>кальцификаты</w:t>
      </w:r>
      <w:proofErr w:type="spellEnd"/>
      <w:r w:rsidRPr="00A20ABB">
        <w:t xml:space="preserve"> обнаруживаются симметрично в различных структурах: коре мозга, белом веществе, подкорковых ганглиях, внутренней капсуле, мозжечке, стенках мелких артерий, реже вен. Характерно наличие </w:t>
      </w:r>
      <w:proofErr w:type="spellStart"/>
      <w:r w:rsidRPr="00A20ABB">
        <w:t>периваскулярных</w:t>
      </w:r>
      <w:proofErr w:type="spellEnd"/>
      <w:r w:rsidRPr="00A20ABB">
        <w:t xml:space="preserve"> мелких кальциевых конгломератов. Наиболее </w:t>
      </w:r>
      <w:proofErr w:type="gramStart"/>
      <w:r w:rsidRPr="00A20ABB">
        <w:t>массивная</w:t>
      </w:r>
      <w:proofErr w:type="gramEnd"/>
      <w:r w:rsidRPr="00A20ABB">
        <w:t xml:space="preserve"> </w:t>
      </w:r>
      <w:proofErr w:type="spellStart"/>
      <w:r w:rsidRPr="00A20ABB">
        <w:t>кальцификация</w:t>
      </w:r>
      <w:proofErr w:type="spellEnd"/>
      <w:r w:rsidRPr="00A20ABB">
        <w:t xml:space="preserve"> выявляется в подкорковых отделах. Микроскопически </w:t>
      </w:r>
      <w:proofErr w:type="spellStart"/>
      <w:r w:rsidRPr="00A20ABB">
        <w:t>кальцификаты</w:t>
      </w:r>
      <w:proofErr w:type="spellEnd"/>
      <w:r w:rsidRPr="00A20ABB">
        <w:t xml:space="preserve"> отличаются типичной структурой, представленной нитями толщиной 140-400 мкм. Они зачастую содержат минеральные комплексы с включениями железа, меди, алюминия, фосфора, свинца, цинка</w:t>
      </w:r>
      <w:r w:rsidRPr="00A20ABB">
        <w:rPr>
          <w:color w:val="000000"/>
        </w:rPr>
        <w:t>, кобальта.</w:t>
      </w:r>
    </w:p>
    <w:p w:rsidR="00A20ABB" w:rsidRDefault="00A20ABB" w:rsidP="00A20A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A20ABB">
        <w:rPr>
          <w:b/>
          <w:color w:val="000000"/>
          <w:sz w:val="28"/>
          <w:szCs w:val="28"/>
        </w:rPr>
        <w:lastRenderedPageBreak/>
        <w:t>Классификация</w:t>
      </w:r>
    </w:p>
    <w:p w:rsidR="00A20ABB" w:rsidRDefault="00A20ABB" w:rsidP="00A20A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</w:p>
    <w:p w:rsidR="00A20ABB" w:rsidRPr="00A20ABB" w:rsidRDefault="00A20ABB" w:rsidP="00A20A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практической </w:t>
      </w:r>
      <w:hyperlink r:id="rId8" w:history="1">
        <w:r w:rsidRPr="00A20A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неврологии</w:t>
        </w:r>
      </w:hyperlink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болезнь Фара подразделяется на две клинические формы, отличающиеся возрастом манифестации, типом преобладающей симптоматики:</w:t>
      </w:r>
    </w:p>
    <w:p w:rsidR="00A20ABB" w:rsidRPr="00A20ABB" w:rsidRDefault="00A20ABB" w:rsidP="00A20A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Ювенильная форма</w:t>
      </w:r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дебют заболевания происходит в детском или подростковом периоде. Характерны экстрапирамидные нарушения в виде </w:t>
      </w:r>
      <w:hyperlink r:id="rId9" w:history="1">
        <w:r w:rsidRPr="00A20A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атетоза</w:t>
        </w:r>
      </w:hyperlink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history="1">
        <w:r w:rsidRPr="00A20A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хореи</w:t>
        </w:r>
      </w:hyperlink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мышечной дистонии. Патология может сопровождаться </w:t>
      </w:r>
      <w:hyperlink r:id="rId11" w:history="1">
        <w:r w:rsidRPr="00A20A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олигофренией</w:t>
        </w:r>
      </w:hyperlink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мере взросления отмечается смена гиперкинезов </w:t>
      </w:r>
      <w:proofErr w:type="spellStart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паркинсонической</w:t>
      </w:r>
      <w:proofErr w:type="spellEnd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симптоматикой.</w:t>
      </w:r>
    </w:p>
    <w:p w:rsidR="00A20ABB" w:rsidRPr="00A20ABB" w:rsidRDefault="00A20ABB" w:rsidP="00A20A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Сенильная форма</w:t>
      </w:r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манифестирует в пожилом и среднем возрасте. Клиническая картина характеризуется доминированием симптомов паркинсонизма в сочетании с когнитивными расстройствами. Типична прогрессирующая </w:t>
      </w:r>
      <w:hyperlink r:id="rId12" w:history="1">
        <w:r w:rsidRPr="00A20A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деменция</w:t>
        </w:r>
      </w:hyperlink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0ABB" w:rsidRDefault="00A20ABB" w:rsidP="00A20A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</w:p>
    <w:p w:rsidR="00A20ABB" w:rsidRDefault="00A20ABB" w:rsidP="00A20A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Клиническая картина</w:t>
      </w:r>
    </w:p>
    <w:p w:rsidR="00A20ABB" w:rsidRDefault="00A20ABB" w:rsidP="00A20A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</w:p>
    <w:p w:rsidR="00A20ABB" w:rsidRPr="00A20ABB" w:rsidRDefault="00A20ABB" w:rsidP="00A20A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типичных случаях болезнь дебютирует появлением утомляемости, неуклюжести движений, шаткости ходьбы, изменений речи, непроизвольных двигательных актов или ночных мышечных спазмов. Основу клинических проявлений составляют экстрапирамидные нарушения. В молодом возрасте это различные гиперкинезы: атетоз — непроизвольные червеобразные движения в пальцах кистей, </w:t>
      </w:r>
      <w:proofErr w:type="spellStart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хореоатетоз</w:t>
      </w:r>
      <w:proofErr w:type="spellEnd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сочетание атетоза с быстрыми насильственными движениями в конечностях, </w:t>
      </w:r>
      <w:hyperlink r:id="rId13" w:history="1">
        <w:r w:rsidRPr="00A20A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торсионная дистония</w:t>
        </w:r>
      </w:hyperlink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тонические мышечные спазмы, придающие телу неестественные позы. У взрослых наблюдается </w:t>
      </w:r>
      <w:hyperlink r:id="rId14" w:history="1">
        <w:r w:rsidRPr="00A20A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вторичный паркинсонизм</w:t>
        </w:r>
      </w:hyperlink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: амимия лица, </w:t>
      </w:r>
      <w:proofErr w:type="spellStart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"https://www.krasotaimedicina.ru/symptom/movement-disorder/bradykinesia" </w:instrText>
      </w:r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20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брадикинезия</w:t>
      </w:r>
      <w:proofErr w:type="spellEnd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замедленные скованные движения, </w:t>
      </w:r>
      <w:hyperlink r:id="rId15" w:history="1">
        <w:r w:rsidRPr="00A20A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шаркающая походка</w:t>
        </w:r>
      </w:hyperlink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постуральный тремор.</w:t>
      </w:r>
    </w:p>
    <w:p w:rsidR="00A20ABB" w:rsidRPr="00A20ABB" w:rsidRDefault="00A20ABB" w:rsidP="00A20A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Симптоматика паркинсонизма зачастую сочетается с </w:t>
      </w:r>
      <w:hyperlink r:id="rId16" w:history="1">
        <w:r w:rsidRPr="00A20A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мозжечковой атаксией</w:t>
        </w:r>
      </w:hyperlink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дискоординация</w:t>
      </w:r>
      <w:proofErr w:type="spellEnd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несоразмерность движений, </w:t>
      </w:r>
      <w:hyperlink r:id="rId17" w:history="1">
        <w:r w:rsidRPr="00A20A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нистагм</w:t>
        </w:r>
      </w:hyperlink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пирамидной недостаточностью (слабость в конечностях, повышенные сухожильные рефлексы, патологические стопные знаки). Возможна </w:t>
      </w:r>
      <w:hyperlink r:id="rId18" w:history="1">
        <w:r w:rsidRPr="00A20A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дизартрия</w:t>
        </w:r>
      </w:hyperlink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дисфагия, </w:t>
      </w:r>
      <w:hyperlink r:id="rId19" w:history="1">
        <w:r w:rsidRPr="00A20A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недержание мочи</w:t>
        </w:r>
      </w:hyperlink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. Эпилептические пароксизмы более характерны для ювенильной формы заболевания, могут отмечаться у взрослых.</w:t>
      </w:r>
    </w:p>
    <w:p w:rsidR="00A20ABB" w:rsidRPr="00A20ABB" w:rsidRDefault="00A20ABB" w:rsidP="00A20A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Сопровождающие болезнь Фара когнитивные нарушения характеризуются снижением памяти на текущие и прошлые события, замедленным мышлением, неустойчивым вниманием, угасанием способности к аналитической и синтетической интеллектуальной деятельности. Прогрессирование расстройств когнитивной сферы у детей приводит к олигофрении, во взрослом возрасте — к развитию корково-подкорковой деменции с элементами </w:t>
      </w:r>
      <w:hyperlink r:id="rId20" w:history="1">
        <w:r w:rsidRPr="00A20A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агнозии</w:t>
        </w:r>
      </w:hyperlink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1" w:history="1">
        <w:r w:rsidRPr="00A20A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апраксии</w:t>
        </w:r>
      </w:hyperlink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2" w:history="1">
        <w:r w:rsidRPr="00A20A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алексии</w:t>
        </w:r>
      </w:hyperlink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 часть больных ювенильной формой остаются интеллектуально сохранными.</w:t>
      </w:r>
    </w:p>
    <w:p w:rsidR="00A20ABB" w:rsidRDefault="00A20ABB" w:rsidP="00A20A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BB" w:rsidRDefault="00A20ABB" w:rsidP="00A20A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</w:t>
      </w:r>
    </w:p>
    <w:p w:rsidR="00A20ABB" w:rsidRPr="00A20ABB" w:rsidRDefault="00A20ABB" w:rsidP="00A20A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0ABB" w:rsidRPr="00A20ABB" w:rsidRDefault="00A20ABB" w:rsidP="00A20A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диагностическим методом, позволяющим </w:t>
      </w:r>
      <w:hyperlink r:id="rId23" w:history="1">
        <w:r w:rsidRPr="00A20A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неврологу</w:t>
        </w:r>
      </w:hyperlink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достоверно установить наличие очагов </w:t>
      </w:r>
      <w:proofErr w:type="spellStart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кальциноза</w:t>
      </w:r>
      <w:proofErr w:type="spellEnd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мозговых тканях, является </w:t>
      </w:r>
      <w:hyperlink r:id="rId24" w:history="1">
        <w:r w:rsidRPr="00A20A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КТ головного мозга</w:t>
        </w:r>
      </w:hyperlink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Интенсивность очагов на </w:t>
      </w:r>
      <w:proofErr w:type="spellStart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томограммах</w:t>
      </w:r>
      <w:proofErr w:type="spellEnd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 уровень концентрации кальция. </w:t>
      </w:r>
      <w:hyperlink r:id="rId25" w:history="1">
        <w:r w:rsidRPr="00A20A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МРТ головного мозга</w:t>
        </w:r>
      </w:hyperlink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значительно хуже визуализирует </w:t>
      </w:r>
      <w:proofErr w:type="spellStart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кальцификаты</w:t>
      </w:r>
      <w:proofErr w:type="spellEnd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позволяет оценить сопутствующие дегенеративные процессы. С целью подтверждения идиопатического характера патологии проводится целый ряд дополнительных обследований:</w:t>
      </w:r>
    </w:p>
    <w:p w:rsidR="00A20ABB" w:rsidRPr="00A20ABB" w:rsidRDefault="00A20ABB" w:rsidP="00A20AB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Биохимический анализ крови</w:t>
      </w:r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Производится определение электролитов крови: кальция, фосфора, железа, натрия. Отсутствие существенных отклонений позволяет исключить общие обменные нарушения в организме, приводящие к отложению кальция.</w:t>
      </w:r>
    </w:p>
    <w:p w:rsidR="00A20ABB" w:rsidRPr="00A20ABB" w:rsidRDefault="00A20ABB" w:rsidP="00A20AB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Определение уровня </w:t>
      </w:r>
      <w:proofErr w:type="spellStart"/>
      <w:r w:rsidRPr="00A20A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паратгормона</w:t>
      </w:r>
      <w:proofErr w:type="spellEnd"/>
      <w:proofErr w:type="gramStart"/>
      <w:r w:rsidRPr="00A20A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 </w:t>
      </w:r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Нормальные показатели концентрации гормона в крови исключают наличие </w:t>
      </w:r>
      <w:proofErr w:type="spellStart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"https://www.krasotaimedicina.ru/diseases/zabolevanija_endocrinology/gipoparatireoz" </w:instrText>
      </w:r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20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гипопаратиреоза</w:t>
      </w:r>
      <w:proofErr w:type="spellEnd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псевдогипопаратиреоза</w:t>
      </w:r>
      <w:proofErr w:type="spellEnd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наиболее распространённых причин </w:t>
      </w:r>
      <w:proofErr w:type="spellStart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кальцификации</w:t>
      </w:r>
      <w:proofErr w:type="spellEnd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0ABB" w:rsidRPr="00A20ABB" w:rsidRDefault="00A20ABB" w:rsidP="00A20AB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A20ABB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 xml:space="preserve">УЗИ </w:t>
        </w:r>
        <w:proofErr w:type="gramStart"/>
        <w:r w:rsidRPr="00A20ABB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щитовидной</w:t>
        </w:r>
        <w:proofErr w:type="gramEnd"/>
      </w:hyperlink>
      <w:r w:rsidRPr="00A20A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и паращитовидных желёз</w:t>
      </w:r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пациентов с болезнью Фара </w:t>
      </w:r>
      <w:proofErr w:type="spellStart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эхоскопическая</w:t>
      </w:r>
      <w:proofErr w:type="spellEnd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картина остается в пределах нормы, что исключает связанные с поражением этих желёз гормонально-обменные нарушения.</w:t>
      </w:r>
    </w:p>
    <w:p w:rsidR="00A20ABB" w:rsidRPr="00A20ABB" w:rsidRDefault="00A20ABB" w:rsidP="00A20AB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A20ABB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ТКДГ церебральных сосудов</w:t>
        </w:r>
      </w:hyperlink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</w:t>
      </w:r>
      <w:proofErr w:type="gramEnd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оценки мозговой гемодинамики, выявления </w:t>
      </w:r>
      <w:hyperlink r:id="rId28" w:history="1">
        <w:r w:rsidRPr="00A20A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хронической церебральной ишемии</w:t>
        </w:r>
      </w:hyperlink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первопричины дегенеративных изменений, сопровождающихся </w:t>
      </w:r>
      <w:proofErr w:type="spellStart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кальцификацией</w:t>
      </w:r>
      <w:proofErr w:type="spellEnd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0ABB" w:rsidRPr="00A20ABB" w:rsidRDefault="00A20ABB" w:rsidP="00A20AB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ПЦР-исследования</w:t>
      </w:r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Направлены на выявление токсоплазмы, </w:t>
      </w:r>
      <w:proofErr w:type="spellStart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цитомегаловируса</w:t>
      </w:r>
      <w:proofErr w:type="spellEnd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инфекционных агентов, способных вызывать воспалительные изменения мозговых тканей с образованием </w:t>
      </w:r>
      <w:proofErr w:type="spellStart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кальцификатов</w:t>
      </w:r>
      <w:proofErr w:type="spellEnd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0ABB" w:rsidRPr="00A20ABB" w:rsidRDefault="00A20ABB" w:rsidP="00A20A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Диагноз болезнь Фара правомочен после исключения вторичного характера </w:t>
      </w:r>
      <w:proofErr w:type="gramStart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церебральной</w:t>
      </w:r>
      <w:proofErr w:type="gramEnd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кальцификации</w:t>
      </w:r>
      <w:proofErr w:type="spellEnd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наблюдающейся при эндокринных (</w:t>
      </w:r>
      <w:proofErr w:type="spellStart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гипопаратиреоз</w:t>
      </w:r>
      <w:proofErr w:type="spellEnd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псевдогипопаратиреоз</w:t>
      </w:r>
      <w:proofErr w:type="spellEnd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9" w:history="1">
        <w:r w:rsidRPr="00A20A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гипотиреоз</w:t>
        </w:r>
      </w:hyperlink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сосудистых (</w:t>
      </w:r>
      <w:hyperlink r:id="rId30" w:history="1">
        <w:r w:rsidRPr="00A20A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атеросклероз</w:t>
        </w:r>
      </w:hyperlink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1" w:history="1">
        <w:r w:rsidRPr="00A20A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амилоидоз</w:t>
        </w:r>
      </w:hyperlink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сосудов), инфекционных (</w:t>
      </w:r>
      <w:hyperlink r:id="rId32" w:history="1">
        <w:r w:rsidRPr="00A20A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краснуха</w:t>
        </w:r>
      </w:hyperlink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3" w:history="1">
        <w:r w:rsidRPr="00A20A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цистицеркоз</w:t>
        </w:r>
      </w:hyperlink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4" w:history="1">
        <w:r w:rsidRPr="00A20A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токсоплазмоз</w:t>
        </w:r>
      </w:hyperlink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"https://www.krasotaimedicina.ru/diseases/infectious/cytomegalovirus" </w:instrText>
      </w:r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20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цитомегалия</w:t>
      </w:r>
      <w:proofErr w:type="spellEnd"/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заболеваниях. Дифференциальная диагностика проводится также с </w:t>
      </w:r>
      <w:hyperlink r:id="rId35" w:history="1">
        <w:r w:rsidRPr="00A20A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болезнью </w:t>
        </w:r>
        <w:proofErr w:type="spellStart"/>
        <w:r w:rsidRPr="00A20A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Галлервордена-Шпатца</w:t>
        </w:r>
        <w:proofErr w:type="spellEnd"/>
      </w:hyperlink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6" w:history="1">
        <w:r w:rsidRPr="00A20A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туберозным склерозом</w:t>
        </w:r>
      </w:hyperlink>
      <w:r w:rsidRPr="00A20A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0ABB" w:rsidRDefault="00A20ABB" w:rsidP="00A20AB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20ABB" w:rsidRDefault="00A20ABB" w:rsidP="00A20AB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Лечение</w:t>
      </w:r>
    </w:p>
    <w:p w:rsidR="00A20ABB" w:rsidRDefault="00A20ABB" w:rsidP="00A20ABB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>Поскольку патогенез заболевания остаётся неясным, терапия имеет преимущественно симптоматический характер. С целью улучшения обменных процессов применяются стимуляторы тканевого метаболизма (</w:t>
      </w:r>
      <w:proofErr w:type="spellStart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>ацетилкарнитин</w:t>
      </w:r>
      <w:proofErr w:type="spellEnd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глютаминовая кислота, комплекс </w:t>
      </w:r>
      <w:proofErr w:type="spellStart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>L-цитруллин+малат</w:t>
      </w:r>
      <w:proofErr w:type="spellEnd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>никотинамид</w:t>
      </w:r>
      <w:proofErr w:type="spellEnd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proofErr w:type="spellStart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>цитопротекторы</w:t>
      </w:r>
      <w:proofErr w:type="spellEnd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(рибофлавин, янтарная кислота, </w:t>
      </w:r>
      <w:proofErr w:type="spellStart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>мельдоний</w:t>
      </w:r>
      <w:proofErr w:type="spellEnd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При симптомах паркинсонизма предпочтительно назначение </w:t>
      </w:r>
      <w:proofErr w:type="spellStart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>фармпрепаратов</w:t>
      </w:r>
      <w:proofErr w:type="spellEnd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>леводопы</w:t>
      </w:r>
      <w:proofErr w:type="spellEnd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 гиперкинезах — </w:t>
      </w:r>
      <w:proofErr w:type="spellStart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>холинолитиков</w:t>
      </w:r>
      <w:proofErr w:type="spellEnd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>бензодиазепинов</w:t>
      </w:r>
      <w:proofErr w:type="spellEnd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Наличие эпилептических приступов служит показанием к лечению </w:t>
      </w:r>
      <w:proofErr w:type="gramStart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современными</w:t>
      </w:r>
      <w:proofErr w:type="gramEnd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антиконвульсантами (</w:t>
      </w:r>
      <w:proofErr w:type="spellStart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>леветирацетамом</w:t>
      </w:r>
      <w:proofErr w:type="spellEnd"/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>). В комплексной терапии применяется </w:t>
      </w:r>
      <w:hyperlink r:id="rId37" w:history="1">
        <w:r w:rsidRPr="00A20AB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лечебная физкультура</w:t>
        </w:r>
      </w:hyperlink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38" w:history="1">
        <w:r w:rsidRPr="00A20AB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водолечение</w:t>
        </w:r>
      </w:hyperlink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39" w:history="1">
        <w:r w:rsidRPr="00A20AB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когнитивные тренинги</w:t>
        </w:r>
      </w:hyperlink>
      <w:r w:rsidRPr="00A20A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20ABB" w:rsidRPr="00A20ABB" w:rsidRDefault="00A20ABB" w:rsidP="00A20ABB">
      <w:pPr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0A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Прогноз и профилактика</w:t>
      </w:r>
    </w:p>
    <w:p w:rsidR="00A20ABB" w:rsidRPr="00A20ABB" w:rsidRDefault="00A20ABB" w:rsidP="00A20ABB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Клинически проявленная болезнь Фара рассматривается как хроническое </w:t>
      </w:r>
      <w:proofErr w:type="spellStart"/>
      <w:r w:rsidRPr="00A20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нейродегенеративное</w:t>
      </w:r>
      <w:proofErr w:type="spellEnd"/>
      <w:r w:rsidRPr="00A20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заболевание. Прогноз выздоровления неблагоприятный, однако, при должном уровне поддерживающей симптоматической терапии состояние пациентов длительное время остаётся удовлетворительным. Субклинический вариант не сказывается на здоровье и когнитивных способностях больного, может быть случайной находкой при проведении компьютерной томографии. Специфические меры, позволяющие предупредить развитие болезни, не разработаны.</w:t>
      </w:r>
    </w:p>
    <w:p w:rsidR="00A20ABB" w:rsidRPr="00A20ABB" w:rsidRDefault="00A20ABB" w:rsidP="00A20AB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A20ABB" w:rsidRPr="00A2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C661B"/>
    <w:multiLevelType w:val="multilevel"/>
    <w:tmpl w:val="C32C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CD1DB6"/>
    <w:multiLevelType w:val="multilevel"/>
    <w:tmpl w:val="1124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33"/>
    <w:rsid w:val="000B2A3E"/>
    <w:rsid w:val="000D6976"/>
    <w:rsid w:val="00A20ABB"/>
    <w:rsid w:val="00E5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A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A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treatment/neurology/" TargetMode="External"/><Relationship Id="rId13" Type="http://schemas.openxmlformats.org/officeDocument/2006/relationships/hyperlink" Target="https://www.krasotaimedicina.ru/diseases/zabolevanija_neurology/torsion-dystonia" TargetMode="External"/><Relationship Id="rId18" Type="http://schemas.openxmlformats.org/officeDocument/2006/relationships/hyperlink" Target="https://www.krasotaimedicina.ru/diseases/speech-disorder/dysarthtia" TargetMode="External"/><Relationship Id="rId26" Type="http://schemas.openxmlformats.org/officeDocument/2006/relationships/hyperlink" Target="https://www.krasotaimedicina.ru/treatment/ultrasound-endocrinology/thyroid" TargetMode="External"/><Relationship Id="rId39" Type="http://schemas.openxmlformats.org/officeDocument/2006/relationships/hyperlink" Target="https://www.krasotaimedicina.ru/treatment/psychological-training/cognitiv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krasotaimedicina.ru/diseases/zabolevanija_neurology/apraxia" TargetMode="External"/><Relationship Id="rId34" Type="http://schemas.openxmlformats.org/officeDocument/2006/relationships/hyperlink" Target="https://www.krasotaimedicina.ru/diseases/infectious/toxoplasmosis" TargetMode="External"/><Relationship Id="rId7" Type="http://schemas.openxmlformats.org/officeDocument/2006/relationships/hyperlink" Target="https://www.krasotaimedicina.ru/diseases/zabolevanija_neurology/senile-chorea" TargetMode="External"/><Relationship Id="rId12" Type="http://schemas.openxmlformats.org/officeDocument/2006/relationships/hyperlink" Target="https://www.krasotaimedicina.ru/diseases/psychiatric/dementia" TargetMode="External"/><Relationship Id="rId17" Type="http://schemas.openxmlformats.org/officeDocument/2006/relationships/hyperlink" Target="https://www.krasotaimedicina.ru/diseases/ophthalmology/nystagmus" TargetMode="External"/><Relationship Id="rId25" Type="http://schemas.openxmlformats.org/officeDocument/2006/relationships/hyperlink" Target="https://www.krasotaimedicina.ru/treatment/mri-neurology/brain" TargetMode="External"/><Relationship Id="rId33" Type="http://schemas.openxmlformats.org/officeDocument/2006/relationships/hyperlink" Target="https://www.krasotaimedicina.ru/diseases/zabolevanija_neurology/cerebral-cysticercosis" TargetMode="External"/><Relationship Id="rId38" Type="http://schemas.openxmlformats.org/officeDocument/2006/relationships/hyperlink" Target="https://www.krasotaimedicina.ru/treatment/hydrotherap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diseases/zabolevanija_neurology/cerebellar-ataxia" TargetMode="External"/><Relationship Id="rId20" Type="http://schemas.openxmlformats.org/officeDocument/2006/relationships/hyperlink" Target="https://www.krasotaimedicina.ru/diseases/zabolevanija_neurology/agnosia" TargetMode="External"/><Relationship Id="rId29" Type="http://schemas.openxmlformats.org/officeDocument/2006/relationships/hyperlink" Target="https://www.krasotaimedicina.ru/diseases/zabolevanija_endocrinology/hypothyroidis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zabolevanija_neurology/parkinson" TargetMode="External"/><Relationship Id="rId11" Type="http://schemas.openxmlformats.org/officeDocument/2006/relationships/hyperlink" Target="https://www.krasotaimedicina.ru/diseases/psychiatric/oligophrenia" TargetMode="External"/><Relationship Id="rId24" Type="http://schemas.openxmlformats.org/officeDocument/2006/relationships/hyperlink" Target="https://www.krasotaimedicina.ru/treatment/ct-neurology/brain" TargetMode="External"/><Relationship Id="rId32" Type="http://schemas.openxmlformats.org/officeDocument/2006/relationships/hyperlink" Target="https://www.krasotaimedicina.ru/diseases/infectious/rubella" TargetMode="External"/><Relationship Id="rId37" Type="http://schemas.openxmlformats.org/officeDocument/2006/relationships/hyperlink" Target="https://www.krasotaimedicina.ru/treatment/lfk-neurology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krasotaimedicina.ru/symptom/gait/shuffling" TargetMode="External"/><Relationship Id="rId23" Type="http://schemas.openxmlformats.org/officeDocument/2006/relationships/hyperlink" Target="https://www.krasotaimedicina.ru/doctor/neurologist/" TargetMode="External"/><Relationship Id="rId28" Type="http://schemas.openxmlformats.org/officeDocument/2006/relationships/hyperlink" Target="https://www.krasotaimedicina.ru/diseases/zabolevanija_neurology/cerebral-ischemia" TargetMode="External"/><Relationship Id="rId36" Type="http://schemas.openxmlformats.org/officeDocument/2006/relationships/hyperlink" Target="https://www.krasotaimedicina.ru/diseases/zabolevanija_neurology/tuberous-sclerosis" TargetMode="External"/><Relationship Id="rId10" Type="http://schemas.openxmlformats.org/officeDocument/2006/relationships/hyperlink" Target="https://www.krasotaimedicina.ru/symptom/involuntary-movement/chorea" TargetMode="External"/><Relationship Id="rId19" Type="http://schemas.openxmlformats.org/officeDocument/2006/relationships/hyperlink" Target="https://www.krasotaimedicina.ru/diseases/zabolevanija_urology/incontinence" TargetMode="External"/><Relationship Id="rId31" Type="http://schemas.openxmlformats.org/officeDocument/2006/relationships/hyperlink" Target="https://www.krasotaimedicina.ru/diseases/rheumatology/amyloidos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asotaimedicina.ru/diseases/zabolevanija_neurology/athetosis" TargetMode="External"/><Relationship Id="rId14" Type="http://schemas.openxmlformats.org/officeDocument/2006/relationships/hyperlink" Target="https://www.krasotaimedicina.ru/diseases/zabolevanija_neurology/secondary-parkinsonism" TargetMode="External"/><Relationship Id="rId22" Type="http://schemas.openxmlformats.org/officeDocument/2006/relationships/hyperlink" Target="https://www.krasotaimedicina.ru/diseases/speech-disorder/dyslexia" TargetMode="External"/><Relationship Id="rId27" Type="http://schemas.openxmlformats.org/officeDocument/2006/relationships/hyperlink" Target="https://www.krasotaimedicina.ru/treatment/ultrasound-neurology/duplex" TargetMode="External"/><Relationship Id="rId30" Type="http://schemas.openxmlformats.org/officeDocument/2006/relationships/hyperlink" Target="https://www.krasotaimedicina.ru/diseases/zabolevanija_cardiology/atherosclerosis" TargetMode="External"/><Relationship Id="rId35" Type="http://schemas.openxmlformats.org/officeDocument/2006/relationships/hyperlink" Target="https://www.krasotaimedicina.ru/diseases/zabolevanija_neurology/Hallervorden-Spat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ElenaDmitrieva</dc:creator>
  <cp:keywords/>
  <dc:description/>
  <cp:lastModifiedBy>ElenaDmitrieva</cp:lastModifiedBy>
  <cp:revision>2</cp:revision>
  <dcterms:created xsi:type="dcterms:W3CDTF">2022-02-27T04:13:00Z</dcterms:created>
  <dcterms:modified xsi:type="dcterms:W3CDTF">2022-02-27T04:26:00Z</dcterms:modified>
</cp:coreProperties>
</file>