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9D" w:rsidRPr="003E0C9D" w:rsidRDefault="003E0C9D">
      <w:pPr>
        <w:rPr>
          <w:rFonts w:ascii="Times New Roman" w:hAnsi="Times New Roman" w:cs="Times New Roman"/>
          <w:b/>
          <w:sz w:val="28"/>
          <w:szCs w:val="28"/>
        </w:rPr>
      </w:pPr>
      <w:r w:rsidRPr="003E0C9D">
        <w:rPr>
          <w:rFonts w:ascii="Times New Roman" w:hAnsi="Times New Roman" w:cs="Times New Roman"/>
          <w:b/>
          <w:sz w:val="28"/>
          <w:szCs w:val="28"/>
        </w:rPr>
        <w:t xml:space="preserve">Выполнила </w:t>
      </w:r>
      <w:proofErr w:type="spellStart"/>
      <w:r w:rsidRPr="003E0C9D">
        <w:rPr>
          <w:rFonts w:ascii="Times New Roman" w:hAnsi="Times New Roman" w:cs="Times New Roman"/>
          <w:b/>
          <w:sz w:val="28"/>
          <w:szCs w:val="28"/>
        </w:rPr>
        <w:t>Дейхина</w:t>
      </w:r>
      <w:proofErr w:type="spellEnd"/>
      <w:r w:rsidRPr="003E0C9D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B208DE" w:rsidRPr="00B208DE" w:rsidRDefault="00B208DE">
      <w:pPr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  <w:sz w:val="28"/>
          <w:szCs w:val="28"/>
        </w:rPr>
        <w:t>Тема №4. Хронический панкреатит</w:t>
      </w:r>
    </w:p>
    <w:p w:rsidR="00B208DE" w:rsidRPr="00B208DE" w:rsidRDefault="00B208DE">
      <w:pPr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  <w:sz w:val="28"/>
          <w:szCs w:val="28"/>
        </w:rPr>
        <w:t>Вопросы:</w:t>
      </w:r>
    </w:p>
    <w:p w:rsidR="00B208DE" w:rsidRPr="003E0C9D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</w:rPr>
        <w:t>Классификация степени тяжести ХП по данным КТ и УЗИ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9705"/>
            <wp:effectExtent l="19050" t="0" r="3175" b="0"/>
            <wp:docPr id="1" name="Рисунок 1" descr="C:\Users\Ann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DE" w:rsidRPr="003E0C9D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</w:rPr>
        <w:t>Классификация данных ЭРПГ при ХП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49310"/>
            <wp:effectExtent l="19050" t="0" r="3175" b="0"/>
            <wp:docPr id="2" name="Рисунок 2" descr="C:\Users\Ann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DE" w:rsidRPr="003E0C9D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</w:rPr>
        <w:t xml:space="preserve">Критерии диагностики </w:t>
      </w:r>
      <w:proofErr w:type="spellStart"/>
      <w:r w:rsidRPr="00B208DE">
        <w:rPr>
          <w:rFonts w:ascii="Times New Roman" w:hAnsi="Times New Roman" w:cs="Times New Roman"/>
        </w:rPr>
        <w:t>Rosemont</w:t>
      </w:r>
      <w:proofErr w:type="spellEnd"/>
      <w:r w:rsidRPr="00B208DE">
        <w:rPr>
          <w:rFonts w:ascii="Times New Roman" w:hAnsi="Times New Roman" w:cs="Times New Roman"/>
        </w:rPr>
        <w:t xml:space="preserve"> по ЭУЗИ. Описать методику проведения </w:t>
      </w:r>
      <w:proofErr w:type="spellStart"/>
      <w:r w:rsidRPr="00B208DE">
        <w:rPr>
          <w:rFonts w:ascii="Times New Roman" w:hAnsi="Times New Roman" w:cs="Times New Roman"/>
        </w:rPr>
        <w:t>ЭндоУЗи</w:t>
      </w:r>
      <w:proofErr w:type="spellEnd"/>
      <w:r w:rsidRPr="00B208DE">
        <w:rPr>
          <w:rFonts w:ascii="Times New Roman" w:hAnsi="Times New Roman" w:cs="Times New Roman"/>
        </w:rPr>
        <w:t xml:space="preserve"> показание и противопоказание. </w:t>
      </w:r>
    </w:p>
    <w:p w:rsid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450" cy="6995160"/>
            <wp:effectExtent l="19050" t="0" r="0" b="0"/>
            <wp:docPr id="3" name="Рисунок 3" descr="C:\Users\Ann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9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Показания к диагностическому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эндоУЗ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1.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Уточнение характера патологических изменений, обнаруженных при рентгеновском исследовании верхних отделов желудочно-кишечного тракта, ЭГДС, КТ, МРТ,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>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2.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Определение стадии рака пищевода (Т и N по классификации TNM) и оценка вовлечения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чревного сплетения (М).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Оценка характера объемных образований средостения и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(уже выявленных или предполагаемых). Это особенно ценно при определении стадии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немелкоклеточного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рака легких (можно оценить вовлечение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средостения -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субкаринального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аорто-пульмонального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окна).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4.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Уточнение характера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подслизистых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образований желудочно-кишечного тракта и определение слоя, в котором они расположены (например, в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подслизистом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слое, собственной мышечной пластинке и т.д.).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5.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Определение стадии злокачественных опухолей желудка, в том числе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аденокарциномы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(критерии Т и N).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6.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Определение причины обструкции желчных путей при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желтухе.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7.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Определение стадии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аденокарциномы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поджелудочной железы, особенно в отношении ее распространения в окружающие сосуды и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(критерии Т и N).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8.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Установление локализации нейроэндокринной опухоли поджелудочной железы (например,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инсулиномы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гастриномы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0C9D">
        <w:rPr>
          <w:rFonts w:ascii="Times New Roman" w:hAnsi="Times New Roman" w:cs="Times New Roman"/>
          <w:sz w:val="28"/>
          <w:szCs w:val="28"/>
        </w:rPr>
        <w:t>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Обнаружение желчных камней,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билиарногосладжа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>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C9D">
        <w:rPr>
          <w:rFonts w:ascii="Times New Roman" w:hAnsi="Times New Roman" w:cs="Times New Roman"/>
          <w:sz w:val="28"/>
          <w:szCs w:val="28"/>
        </w:rPr>
        <w:t>.</w:t>
      </w:r>
      <w:r w:rsidRPr="003E0C9D">
        <w:rPr>
          <w:rFonts w:ascii="Times New Roman" w:hAnsi="Times New Roman" w:cs="Times New Roman"/>
          <w:sz w:val="28"/>
          <w:szCs w:val="28"/>
        </w:rPr>
        <w:tab/>
        <w:t>Определение наличия и тяжести течения хронического панкреатита.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C9D">
        <w:rPr>
          <w:rFonts w:ascii="Times New Roman" w:hAnsi="Times New Roman" w:cs="Times New Roman"/>
          <w:sz w:val="28"/>
          <w:szCs w:val="28"/>
        </w:rPr>
        <w:t>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Определение стадии опухоли прямой кишки, в том числе оценка поражения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(критерии Т и N).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0C9D">
        <w:rPr>
          <w:rFonts w:ascii="Times New Roman" w:hAnsi="Times New Roman" w:cs="Times New Roman"/>
          <w:sz w:val="28"/>
          <w:szCs w:val="28"/>
        </w:rPr>
        <w:t>.</w:t>
      </w:r>
      <w:r w:rsidRPr="003E0C9D">
        <w:rPr>
          <w:rFonts w:ascii="Times New Roman" w:hAnsi="Times New Roman" w:cs="Times New Roman"/>
          <w:sz w:val="28"/>
          <w:szCs w:val="28"/>
        </w:rPr>
        <w:tab/>
        <w:t>Оценка целостности внутреннего и наружного анального сфинктеров.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0C9D">
        <w:rPr>
          <w:rFonts w:ascii="Times New Roman" w:hAnsi="Times New Roman" w:cs="Times New Roman"/>
          <w:sz w:val="28"/>
          <w:szCs w:val="28"/>
          <w:u w:val="single"/>
        </w:rPr>
        <w:t>Противопоказания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Абсолют</w:t>
      </w:r>
      <w:r>
        <w:rPr>
          <w:rFonts w:ascii="Times New Roman" w:hAnsi="Times New Roman" w:cs="Times New Roman"/>
          <w:sz w:val="28"/>
          <w:szCs w:val="28"/>
        </w:rPr>
        <w:t>ные: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Шоковое состояние.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2.</w:t>
      </w:r>
      <w:r w:rsidRPr="003E0C9D">
        <w:rPr>
          <w:rFonts w:ascii="Times New Roman" w:hAnsi="Times New Roman" w:cs="Times New Roman"/>
          <w:sz w:val="28"/>
          <w:szCs w:val="28"/>
        </w:rPr>
        <w:tab/>
        <w:t>Острый инфаркт миокарда.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3.</w:t>
      </w:r>
      <w:r w:rsidRPr="003E0C9D">
        <w:rPr>
          <w:rFonts w:ascii="Times New Roman" w:hAnsi="Times New Roman" w:cs="Times New Roman"/>
          <w:sz w:val="28"/>
          <w:szCs w:val="28"/>
        </w:rPr>
        <w:tab/>
        <w:t>Выраженная одышка с гипоксемией.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4.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Кома (за исключением случаев, когда пациент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интубирован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>).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5.</w:t>
      </w:r>
      <w:r w:rsidRPr="003E0C9D">
        <w:rPr>
          <w:rFonts w:ascii="Times New Roman" w:hAnsi="Times New Roman" w:cs="Times New Roman"/>
          <w:sz w:val="28"/>
          <w:szCs w:val="28"/>
        </w:rPr>
        <w:tab/>
        <w:t>Судороги.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6.</w:t>
      </w:r>
      <w:r w:rsidRPr="003E0C9D">
        <w:rPr>
          <w:rFonts w:ascii="Times New Roman" w:hAnsi="Times New Roman" w:cs="Times New Roman"/>
          <w:sz w:val="28"/>
          <w:szCs w:val="28"/>
        </w:rPr>
        <w:tab/>
        <w:t>Перфорация желудочно-кишечного тракта.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Подвывих в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атланто-затылочном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сочленении.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8.</w:t>
      </w:r>
      <w:r w:rsidRPr="003E0C9D">
        <w:rPr>
          <w:rFonts w:ascii="Times New Roman" w:hAnsi="Times New Roman" w:cs="Times New Roman"/>
          <w:sz w:val="28"/>
          <w:szCs w:val="28"/>
        </w:rPr>
        <w:tab/>
        <w:t>Неспособность пациента дать согласие на исследование и разрешение на лечебное вмешательство.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9.</w:t>
      </w:r>
      <w:r w:rsidRPr="003E0C9D">
        <w:rPr>
          <w:rFonts w:ascii="Times New Roman" w:hAnsi="Times New Roman" w:cs="Times New Roman"/>
          <w:sz w:val="28"/>
          <w:szCs w:val="28"/>
        </w:rPr>
        <w:tab/>
        <w:t>Признаки перитонита или медиастинита.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Относительные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1.</w:t>
      </w:r>
      <w:r w:rsidRPr="003E0C9D">
        <w:rPr>
          <w:rFonts w:ascii="Times New Roman" w:hAnsi="Times New Roman" w:cs="Times New Roman"/>
          <w:sz w:val="28"/>
          <w:szCs w:val="28"/>
        </w:rPr>
        <w:tab/>
        <w:t>Неспособность пациента к сотрудничеству с медперсоналом.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2.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Изменения в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коагулограмм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3.</w:t>
      </w:r>
      <w:r w:rsidRPr="003E0C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Ценкеровский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дивертикул.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4.</w:t>
      </w:r>
      <w:r w:rsidRPr="003E0C9D">
        <w:rPr>
          <w:rFonts w:ascii="Times New Roman" w:hAnsi="Times New Roman" w:cs="Times New Roman"/>
          <w:sz w:val="28"/>
          <w:szCs w:val="28"/>
        </w:rPr>
        <w:tab/>
        <w:t>Стриктура верхних отделов желудочно-кишечного тракта.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5.</w:t>
      </w:r>
      <w:r w:rsidRPr="003E0C9D">
        <w:rPr>
          <w:rFonts w:ascii="Times New Roman" w:hAnsi="Times New Roman" w:cs="Times New Roman"/>
          <w:sz w:val="28"/>
          <w:szCs w:val="28"/>
        </w:rPr>
        <w:tab/>
        <w:t>Дуоденальная непроходимость.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6.</w:t>
      </w:r>
      <w:r w:rsidRPr="003E0C9D">
        <w:rPr>
          <w:rFonts w:ascii="Times New Roman" w:hAnsi="Times New Roman" w:cs="Times New Roman"/>
          <w:sz w:val="28"/>
          <w:szCs w:val="28"/>
        </w:rPr>
        <w:tab/>
        <w:t>Ишемия миокарда.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7.</w:t>
      </w:r>
      <w:r w:rsidRPr="003E0C9D">
        <w:rPr>
          <w:rFonts w:ascii="Times New Roman" w:hAnsi="Times New Roman" w:cs="Times New Roman"/>
          <w:sz w:val="28"/>
          <w:szCs w:val="28"/>
        </w:rPr>
        <w:tab/>
        <w:t>Аневризма грудной аорты.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8.</w:t>
      </w:r>
      <w:r w:rsidRPr="003E0C9D">
        <w:rPr>
          <w:rFonts w:ascii="Times New Roman" w:hAnsi="Times New Roman" w:cs="Times New Roman"/>
          <w:sz w:val="28"/>
          <w:szCs w:val="28"/>
        </w:rPr>
        <w:tab/>
        <w:t>Острая толстокишечная непроходимость.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Подготовка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•  Пациент не должен принимать пищу и жидкость за 6-8 ч перед исследованием.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</w:t>
      </w:r>
      <w:r w:rsidRPr="003E0C9D">
        <w:rPr>
          <w:rFonts w:ascii="Times New Roman" w:hAnsi="Times New Roman" w:cs="Times New Roman"/>
          <w:sz w:val="28"/>
          <w:szCs w:val="28"/>
        </w:rPr>
        <w:t xml:space="preserve">нформированное согласие пациента на исследование. Прибегнуть к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с сохранением сознания.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Методика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1.</w:t>
      </w:r>
      <w:r w:rsidRPr="003E0C9D">
        <w:rPr>
          <w:rFonts w:ascii="Times New Roman" w:hAnsi="Times New Roman" w:cs="Times New Roman"/>
          <w:sz w:val="28"/>
          <w:szCs w:val="28"/>
        </w:rPr>
        <w:tab/>
        <w:t>Провести анестезию глотки пациента с помощью местного анестетика.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2.</w:t>
      </w:r>
      <w:r w:rsidRPr="003E0C9D">
        <w:rPr>
          <w:rFonts w:ascii="Times New Roman" w:hAnsi="Times New Roman" w:cs="Times New Roman"/>
          <w:sz w:val="28"/>
          <w:szCs w:val="28"/>
        </w:rPr>
        <w:tab/>
        <w:t>Уложить пациента на левый бок и установить мундштук.</w:t>
      </w:r>
    </w:p>
    <w:p w:rsidR="003E0C9D" w:rsidRP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3.</w:t>
      </w:r>
      <w:r w:rsidRPr="003E0C9D">
        <w:rPr>
          <w:rFonts w:ascii="Times New Roman" w:hAnsi="Times New Roman" w:cs="Times New Roman"/>
          <w:sz w:val="28"/>
          <w:szCs w:val="28"/>
        </w:rPr>
        <w:tab/>
        <w:t xml:space="preserve">Внутривенно медленно ввести средства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с сохранением сознания -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E0C9D">
        <w:rPr>
          <w:rFonts w:ascii="Times New Roman" w:hAnsi="Times New Roman" w:cs="Times New Roman"/>
          <w:sz w:val="28"/>
          <w:szCs w:val="28"/>
        </w:rPr>
        <w:t>диазепамдо</w:t>
      </w:r>
      <w:proofErr w:type="spellEnd"/>
      <w:r w:rsidRPr="003E0C9D">
        <w:rPr>
          <w:rFonts w:ascii="Times New Roman" w:hAnsi="Times New Roman" w:cs="Times New Roman"/>
          <w:sz w:val="28"/>
          <w:szCs w:val="28"/>
        </w:rPr>
        <w:t xml:space="preserve"> достижения необходимой глубины угнетения сознания. </w:t>
      </w:r>
    </w:p>
    <w:p w:rsid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  <w:r w:rsidRPr="003E0C9D">
        <w:rPr>
          <w:rFonts w:ascii="Times New Roman" w:hAnsi="Times New Roman" w:cs="Times New Roman"/>
          <w:sz w:val="28"/>
          <w:szCs w:val="28"/>
        </w:rPr>
        <w:t>4.</w:t>
      </w:r>
      <w:r w:rsidRPr="003E0C9D">
        <w:rPr>
          <w:rFonts w:ascii="Times New Roman" w:hAnsi="Times New Roman" w:cs="Times New Roman"/>
          <w:sz w:val="28"/>
          <w:szCs w:val="28"/>
        </w:rPr>
        <w:tab/>
        <w:t>Провести осмотр пищевода, желудка и двенадцатиперстной кишки, поджелудочной железы</w:t>
      </w:r>
    </w:p>
    <w:p w:rsidR="003E0C9D" w:rsidRDefault="003E0C9D" w:rsidP="003E0C9D">
      <w:pPr>
        <w:rPr>
          <w:rFonts w:ascii="Times New Roman" w:hAnsi="Times New Roman" w:cs="Times New Roman"/>
          <w:sz w:val="28"/>
          <w:szCs w:val="28"/>
        </w:rPr>
      </w:pPr>
    </w:p>
    <w:p w:rsidR="00324063" w:rsidRPr="00171838" w:rsidRDefault="00B208DE" w:rsidP="00324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1838">
        <w:rPr>
          <w:rFonts w:ascii="Times New Roman" w:hAnsi="Times New Roman" w:cs="Times New Roman"/>
        </w:rPr>
        <w:lastRenderedPageBreak/>
        <w:t>Тактика обследования и лечения больного хроническим панкреатитом с доминирующей абдоминальной болью</w:t>
      </w:r>
      <w:r w:rsidR="00324063">
        <w:rPr>
          <w:noProof/>
          <w:lang w:eastAsia="ru-RU"/>
        </w:rPr>
        <w:drawing>
          <wp:inline distT="0" distB="0" distL="0" distR="0">
            <wp:extent cx="5928360" cy="4762500"/>
            <wp:effectExtent l="19050" t="0" r="0" b="0"/>
            <wp:docPr id="4" name="Рисунок 4" descr="Н.Б.Губергриц Алгоритм купирования боли при хроническом панкреат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.Б.Губергриц Алгоритм купирования боли при хроническом панкреатит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DE" w:rsidRDefault="00B20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случай.</w:t>
      </w:r>
    </w:p>
    <w:p w:rsidR="00B208DE" w:rsidRPr="00B208DE" w:rsidRDefault="00257BE6">
      <w:pPr>
        <w:rPr>
          <w:rFonts w:ascii="Times New Roman" w:hAnsi="Times New Roman" w:cs="Times New Roman"/>
          <w:sz w:val="28"/>
          <w:szCs w:val="28"/>
        </w:rPr>
      </w:pPr>
      <w:r w:rsidRPr="00B208DE">
        <w:rPr>
          <w:rFonts w:ascii="Times New Roman" w:hAnsi="Times New Roman" w:cs="Times New Roman"/>
          <w:sz w:val="28"/>
          <w:szCs w:val="28"/>
        </w:rPr>
        <w:t>Больной Л., 58 лет. Впервые был госпитализирован в декабре 2016 г. с жалобами на ноющие боли в 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области и левом подреберье, отрыжку воздухом, снижение массы тела на 10  кг за последние 4 месяца. В анамнезе отмечено длительное употребление крепких алкогольных напитков с  частотой 1–3  раза в  неделю.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отрицает. В  2014  г. впервые появились интенсивные боли в  верхних отделах живота, сопровождающиеся рвотой, в  связи с  чем больной был госпитализирован в хирургическое отделение городской больницы, где выявлен острый панкреатит. На фоне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и  спазмолитической терапии болевой синдром был купирован, больной выписан в удовлетворительном состоянии. В дальнейшем диету не соблюдал, продолжал употреблять алкоголь. В июле 2016  г. вновь с  клинической картиной острого панкреатита был госпитализирован. При обследовании по данным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мультиспиральной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компьютерной томографии (МСКТ) с внутривенным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выявлены признаки острого деструктивного панкреатита, тотальный тромбоз воротной вены. Отмечена </w:t>
      </w:r>
      <w:r w:rsidRPr="00B208DE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механическая желтуха, в  связи с  чем проводилась дифференциальная диагностика между опухолевым процессом внепеченочных желчных протоков, головки поджелудочной железы и  стриктурой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. При магнитно-резонансной томографии с  внутривенным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была заподозрена опухоль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, однако при эндоскопической ретроградной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холангиопанкреатографии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данных за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билиарную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гипертензию и новообразование желчных протоков получено не было. В  ноябре 2016  г. в  связи со вновь возникшим болевым синдромом, периодической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фебрильной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лихорадкой с ознобом больной обратился в ГБУЗ  и был направлен на госпитализацию в отделение гастроэнтерологии.  В биохимическом анализе крови отмечалась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гиперамилаземия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до 624 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>/л (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значения 28–100),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гиперамилазурия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1336 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/л (0–460).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Эластаза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кала  – 7,8 мкг/г. Кроме того, наблюдались признаки железодефицитной анемии: гемоглобин 10,1  г/л, сывороточное железо – 6,1 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/л. Выполнено ультразвуковое исследование (УЗИ). Заключение: увеличение и  выраженные диффузные изменения печени по типу жирового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гепатоза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Реканализация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тромбоза воротной вены. Умеренное увеличение селезенки. Конкременты желчного пузыря, признаки острого деструктивного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калькулезного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холецистита. Подозрение на новообразование головки поджелудочной железы, выраженная панкреатическая гипертензия.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Постнекротическая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киста тела поджелудочной железы, возможно, с нагноением и прорывом в сальниковую сумку. Воспалительный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парапанкреатический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инфильтрат. Ультразвуковые признаки пареза кишечника. Свободная жидкость в  брюшной полости, преимущественно в малом тазу. Больной был переведен в хирургическое отделение, где проведено дренирование малого таза под ультразвуковым контролем и 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холецистостомия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. По дренажу из малого таза поступала мутная коричневатая жидкость без запаха, напоминающая содержимое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постнекротической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кисты поджелудочной железы. Под контролем УЗИ выполнена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чреспеченочная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пункция желчного пузыря. Получен густой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сливкообразный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гной желтоватого цвета. По игле полость желчного пузыря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контрастирована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>, желчный пузырь размерами 8×3 см, отмечено наличие некоторого количества дефектов наполнения (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сладж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? конкременты?), затем контраст свободно заполнял нерасширенные желчные протоки и  тотчас свободно сбрасывался в двенадцатиперстную кишку. В желчный пузырь под контролем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рентгенотелевидения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по игле введен мягкий проводник, в просвет желчного пузыря установлен дренаж. Проводилась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, антибактериальная, противовоспалительная терапия с  положительной динамикой. В дальнейшем были удалены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холецистостома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и  дренаж из малого таза. На контрольном УЗИ жидкостных скоплений и свободной </w:t>
      </w:r>
      <w:r w:rsidRPr="00B208DE">
        <w:rPr>
          <w:rFonts w:ascii="Times New Roman" w:hAnsi="Times New Roman" w:cs="Times New Roman"/>
          <w:sz w:val="28"/>
          <w:szCs w:val="28"/>
        </w:rPr>
        <w:lastRenderedPageBreak/>
        <w:t xml:space="preserve">жидкости в брюшной полости не выявлено. Желчный пузырь без признаков воспаления, содержимое однородное. Учитывая подозрение на новообразование головки поджелудочной железы, пациенту была выполнена МСКТ с внутривенным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. Протокол МСКТ: поджелудочная железа правильно расположена, размеры головки  – 23  мм, структура неоднородная; паренхима тела практически не прослеживается,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выраженно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истончена, на этом уровне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дилатированный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главный панкреатический проток до 10  мм; хвост  – 16  мм, главный панкреатический проток на уровне хвоста до 3  мм. Плотность паренхимы неоднородная, преимущественно на уровне головки, ближе к  перешейку отмечается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гиподенсная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структура размерами 28×21  мм, плотность ближе к  жидкостной, при внутривенном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контрастировании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видимого накопления контрастного вещества не отмечается.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Парапанкреатическая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 клетчатка инфильтрирована. Заключение: признаки перенесенного </w:t>
      </w:r>
      <w:proofErr w:type="spellStart"/>
      <w:r w:rsidRPr="00B208DE">
        <w:rPr>
          <w:rFonts w:ascii="Times New Roman" w:hAnsi="Times New Roman" w:cs="Times New Roman"/>
          <w:sz w:val="28"/>
          <w:szCs w:val="28"/>
        </w:rPr>
        <w:t>панкреонекроза</w:t>
      </w:r>
      <w:proofErr w:type="spellEnd"/>
      <w:r w:rsidRPr="00B20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838" w:rsidRPr="00171838" w:rsidRDefault="00171838" w:rsidP="001718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838">
        <w:rPr>
          <w:rFonts w:ascii="Times New Roman" w:hAnsi="Times New Roman" w:cs="Times New Roman"/>
          <w:sz w:val="28"/>
          <w:szCs w:val="28"/>
        </w:rPr>
        <w:t xml:space="preserve">1. Диагноз: </w:t>
      </w:r>
    </w:p>
    <w:p w:rsidR="00171838" w:rsidRPr="00171838" w:rsidRDefault="00171838" w:rsidP="001718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838">
        <w:rPr>
          <w:rFonts w:ascii="Times New Roman" w:hAnsi="Times New Roman" w:cs="Times New Roman"/>
          <w:sz w:val="28"/>
          <w:szCs w:val="28"/>
        </w:rPr>
        <w:t xml:space="preserve">Основной: Рак хвоста и тела поджелудочной железы? </w:t>
      </w:r>
    </w:p>
    <w:p w:rsidR="00171838" w:rsidRPr="00171838" w:rsidRDefault="00171838" w:rsidP="001718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838">
        <w:rPr>
          <w:rFonts w:ascii="Times New Roman" w:hAnsi="Times New Roman" w:cs="Times New Roman"/>
          <w:sz w:val="28"/>
          <w:szCs w:val="28"/>
        </w:rPr>
        <w:t xml:space="preserve">Сопутствующий: Хронический панкреатит I стадии, умеренной степени тяжести.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Панкреонекроз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 xml:space="preserve"> от июля 2016  г. Панкреатическая гипертензия.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Постнекротические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 xml:space="preserve"> кисты поджелудочной железы, осложненные разрывом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постнекротической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 xml:space="preserve"> кисты в свободную брюшную полость от ноября 2016 г.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Холецистостомия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 xml:space="preserve"> от ноября 2016 г. Тромбоз воротной вены. </w:t>
      </w:r>
    </w:p>
    <w:p w:rsidR="00171838" w:rsidRPr="00171838" w:rsidRDefault="00171838" w:rsidP="001718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838">
        <w:rPr>
          <w:rFonts w:ascii="Times New Roman" w:hAnsi="Times New Roman" w:cs="Times New Roman"/>
          <w:sz w:val="28"/>
          <w:szCs w:val="28"/>
        </w:rPr>
        <w:t>2. РАК, б/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 xml:space="preserve"> анализ крови (АЛТ, АСТ, ГГТ, ЩФ, глюкоза, амилаза, диастаза мочи,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 xml:space="preserve">, мочевина, билирубин и его фракции,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эластаза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 xml:space="preserve"> кала),ОАМ, УЗИ ОБП, МСКТ ОБП с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 xml:space="preserve">, ЭУЗИ. Консультация онколога. </w:t>
      </w:r>
    </w:p>
    <w:p w:rsidR="00B208DE" w:rsidRDefault="00171838" w:rsidP="00171838">
      <w:pPr>
        <w:pStyle w:val="a3"/>
        <w:spacing w:after="0" w:line="360" w:lineRule="auto"/>
      </w:pPr>
      <w:r w:rsidRPr="001718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 xml:space="preserve"> терапия, антибактериальная, противовоспалительная 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838">
        <w:rPr>
          <w:rFonts w:ascii="Times New Roman" w:hAnsi="Times New Roman" w:cs="Times New Roman"/>
          <w:sz w:val="28"/>
          <w:szCs w:val="28"/>
        </w:rPr>
        <w:t xml:space="preserve">пия, ферменты,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Pr="00171838">
        <w:rPr>
          <w:rFonts w:ascii="Times New Roman" w:hAnsi="Times New Roman" w:cs="Times New Roman"/>
          <w:sz w:val="28"/>
          <w:szCs w:val="28"/>
        </w:rPr>
        <w:t>, ИПП, ингибиторы пр</w:t>
      </w:r>
      <w:r>
        <w:rPr>
          <w:rFonts w:ascii="Times New Roman" w:hAnsi="Times New Roman" w:cs="Times New Roman"/>
          <w:sz w:val="28"/>
          <w:szCs w:val="28"/>
        </w:rPr>
        <w:t xml:space="preserve">отеаз, </w:t>
      </w:r>
      <w:proofErr w:type="spellStart"/>
      <w:r w:rsidRPr="00171838">
        <w:rPr>
          <w:rFonts w:ascii="Times New Roman" w:hAnsi="Times New Roman" w:cs="Times New Roman"/>
          <w:sz w:val="28"/>
          <w:szCs w:val="28"/>
        </w:rPr>
        <w:t>октреотид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08DE" w:rsidRDefault="00B208DE"/>
    <w:p w:rsidR="00B208DE" w:rsidRDefault="00B208DE"/>
    <w:p w:rsidR="00257BE6" w:rsidRDefault="00257BE6"/>
    <w:sectPr w:rsidR="00257BE6" w:rsidSect="00DF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32AD"/>
    <w:multiLevelType w:val="hybridMultilevel"/>
    <w:tmpl w:val="0B4A877A"/>
    <w:lvl w:ilvl="0" w:tplc="2D6613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B4DA7"/>
    <w:multiLevelType w:val="hybridMultilevel"/>
    <w:tmpl w:val="40B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6DAC"/>
    <w:multiLevelType w:val="hybridMultilevel"/>
    <w:tmpl w:val="3D92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7BE6"/>
    <w:rsid w:val="00171838"/>
    <w:rsid w:val="0023742B"/>
    <w:rsid w:val="00257BE6"/>
    <w:rsid w:val="00324063"/>
    <w:rsid w:val="003E0C9D"/>
    <w:rsid w:val="00B208DE"/>
    <w:rsid w:val="00D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0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Anna</cp:lastModifiedBy>
  <cp:revision>4</cp:revision>
  <dcterms:created xsi:type="dcterms:W3CDTF">2020-04-12T16:14:00Z</dcterms:created>
  <dcterms:modified xsi:type="dcterms:W3CDTF">2020-04-12T16:25:00Z</dcterms:modified>
</cp:coreProperties>
</file>