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B4" w:rsidRPr="00DB00D2" w:rsidRDefault="000336B4" w:rsidP="00DB00D2">
      <w:pPr>
        <w:pStyle w:val="a3"/>
        <w:spacing w:line="360" w:lineRule="auto"/>
        <w:rPr>
          <w:b w:val="0"/>
          <w:sz w:val="28"/>
          <w:szCs w:val="28"/>
        </w:rPr>
      </w:pPr>
      <w:r w:rsidRPr="00DB00D2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DB00D2">
        <w:rPr>
          <w:b w:val="0"/>
          <w:sz w:val="28"/>
          <w:szCs w:val="28"/>
        </w:rPr>
        <w:t>В.Ф.Войно-Ясенецкого</w:t>
      </w:r>
      <w:proofErr w:type="spellEnd"/>
      <w:r w:rsidRPr="00DB00D2">
        <w:rPr>
          <w:b w:val="0"/>
          <w:sz w:val="28"/>
          <w:szCs w:val="28"/>
        </w:rPr>
        <w:t>"</w:t>
      </w:r>
    </w:p>
    <w:p w:rsidR="000336B4" w:rsidRPr="00DB00D2" w:rsidRDefault="000336B4" w:rsidP="00DB00D2">
      <w:pPr>
        <w:pStyle w:val="a3"/>
        <w:spacing w:line="360" w:lineRule="auto"/>
        <w:rPr>
          <w:b w:val="0"/>
          <w:sz w:val="28"/>
          <w:szCs w:val="28"/>
        </w:rPr>
      </w:pPr>
      <w:r w:rsidRPr="00DB00D2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0336B4" w:rsidRPr="00DB00D2" w:rsidRDefault="000336B4" w:rsidP="00DB00D2">
      <w:pPr>
        <w:pStyle w:val="a3"/>
        <w:spacing w:line="360" w:lineRule="auto"/>
        <w:rPr>
          <w:b w:val="0"/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  <w:r w:rsidRPr="00DB00D2">
        <w:rPr>
          <w:b w:val="0"/>
          <w:sz w:val="28"/>
          <w:szCs w:val="28"/>
        </w:rPr>
        <w:t>Кафедра оперативной гинекологии ИПО</w:t>
      </w: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  <w:r w:rsidRPr="00DB00D2">
        <w:rPr>
          <w:sz w:val="28"/>
          <w:szCs w:val="28"/>
        </w:rPr>
        <w:t>Зав. кафедрой: д.м.н., доцент Макаренко Т.А.</w:t>
      </w: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  <w:r w:rsidRPr="00DB00D2">
        <w:rPr>
          <w:sz w:val="28"/>
          <w:szCs w:val="28"/>
        </w:rPr>
        <w:t>Реферат</w:t>
      </w: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  <w:r w:rsidRPr="00DB00D2">
        <w:rPr>
          <w:sz w:val="28"/>
          <w:szCs w:val="28"/>
        </w:rPr>
        <w:t>«</w:t>
      </w:r>
      <w:proofErr w:type="spellStart"/>
      <w:r w:rsidRPr="00DB00D2">
        <w:rPr>
          <w:sz w:val="28"/>
          <w:szCs w:val="28"/>
        </w:rPr>
        <w:t>Эндометриоз</w:t>
      </w:r>
      <w:proofErr w:type="spellEnd"/>
      <w:r w:rsidRPr="00DB00D2">
        <w:rPr>
          <w:sz w:val="28"/>
          <w:szCs w:val="28"/>
        </w:rPr>
        <w:t xml:space="preserve"> мочевыводящих путей»</w:t>
      </w: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a3"/>
        <w:spacing w:line="360" w:lineRule="auto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right"/>
        <w:rPr>
          <w:sz w:val="28"/>
          <w:szCs w:val="28"/>
        </w:rPr>
      </w:pPr>
      <w:r w:rsidRPr="00DB00D2">
        <w:rPr>
          <w:sz w:val="28"/>
          <w:szCs w:val="28"/>
        </w:rPr>
        <w:t>Автор: клинический ординатор</w:t>
      </w:r>
    </w:p>
    <w:p w:rsidR="000336B4" w:rsidRPr="00DB00D2" w:rsidRDefault="000336B4" w:rsidP="00DB00D2">
      <w:pPr>
        <w:pStyle w:val="11"/>
        <w:spacing w:line="360" w:lineRule="auto"/>
        <w:ind w:firstLine="720"/>
        <w:jc w:val="right"/>
        <w:rPr>
          <w:sz w:val="28"/>
          <w:szCs w:val="28"/>
        </w:rPr>
      </w:pPr>
      <w:r w:rsidRPr="00DB00D2">
        <w:rPr>
          <w:sz w:val="28"/>
          <w:szCs w:val="28"/>
        </w:rPr>
        <w:t>Ухова Юлия Андреевна</w:t>
      </w:r>
    </w:p>
    <w:p w:rsidR="000336B4" w:rsidRPr="00DB00D2" w:rsidRDefault="000336B4" w:rsidP="00DB00D2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ind w:firstLine="720"/>
        <w:jc w:val="center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jc w:val="center"/>
        <w:rPr>
          <w:sz w:val="28"/>
          <w:szCs w:val="28"/>
        </w:rPr>
      </w:pPr>
      <w:r w:rsidRPr="00DB00D2">
        <w:rPr>
          <w:sz w:val="28"/>
          <w:szCs w:val="28"/>
        </w:rPr>
        <w:t>Красноярск 2021г.</w:t>
      </w:r>
    </w:p>
    <w:p w:rsidR="000336B4" w:rsidRPr="00DB00D2" w:rsidRDefault="000336B4" w:rsidP="00DB00D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DB00D2">
        <w:rPr>
          <w:b w:val="0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DB00D2">
        <w:rPr>
          <w:b w:val="0"/>
          <w:sz w:val="28"/>
          <w:szCs w:val="28"/>
        </w:rPr>
        <w:t>В.Ф.Войно-Ясенецкого</w:t>
      </w:r>
      <w:proofErr w:type="spellEnd"/>
      <w:r w:rsidRPr="00DB00D2">
        <w:rPr>
          <w:b w:val="0"/>
          <w:sz w:val="28"/>
          <w:szCs w:val="28"/>
        </w:rPr>
        <w:t>" Министерства здравоохранения Российской Федерации</w:t>
      </w:r>
    </w:p>
    <w:p w:rsidR="000336B4" w:rsidRPr="00DB00D2" w:rsidRDefault="000336B4" w:rsidP="00DB00D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DB00D2">
        <w:rPr>
          <w:b w:val="0"/>
          <w:sz w:val="28"/>
          <w:szCs w:val="28"/>
        </w:rPr>
        <w:t>Кафедра оперативной гинекологии ИПО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 xml:space="preserve">Рецензия д.м.н., доцента Макаренко Татьяны Александровны на реферат клинического ординатора первого года </w:t>
      </w:r>
      <w:proofErr w:type="gramStart"/>
      <w:r w:rsidRPr="00DB00D2">
        <w:rPr>
          <w:sz w:val="28"/>
          <w:szCs w:val="28"/>
        </w:rPr>
        <w:t>обучения по специальности</w:t>
      </w:r>
      <w:proofErr w:type="gramEnd"/>
      <w:r w:rsidRPr="00DB00D2">
        <w:rPr>
          <w:sz w:val="28"/>
          <w:szCs w:val="28"/>
        </w:rPr>
        <w:t xml:space="preserve"> «Акушерство и гинекология» Уховой Юлии Андреевны по теме «</w:t>
      </w:r>
      <w:proofErr w:type="spellStart"/>
      <w:r w:rsidRPr="00DB00D2">
        <w:rPr>
          <w:sz w:val="28"/>
          <w:szCs w:val="28"/>
        </w:rPr>
        <w:t>Эндометриоз</w:t>
      </w:r>
      <w:proofErr w:type="spellEnd"/>
      <w:r w:rsidRPr="00DB00D2">
        <w:rPr>
          <w:sz w:val="28"/>
          <w:szCs w:val="28"/>
        </w:rPr>
        <w:t xml:space="preserve"> мочевыводящих путей».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Основные оценочные критерии рецензии: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4966"/>
        <w:gridCol w:w="4090"/>
      </w:tblGrid>
      <w:tr w:rsidR="000336B4" w:rsidRPr="00DB00D2" w:rsidTr="009B232A">
        <w:trPr>
          <w:trHeight w:val="356"/>
        </w:trPr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№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Оценочный критерий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Положительный/отрицательный</w:t>
            </w: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1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Структурированность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Наличие орфографических ошибок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3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Соответствие текста реферата теме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4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Владение терминологией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5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Полнота и глубина раскрытия основных понятий темы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6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Логичность доказательной базы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7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 xml:space="preserve">Умение аргументировать основные положения и выводы 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8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Использование известных научных источников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36B4" w:rsidRPr="00DB00D2" w:rsidTr="009B232A">
        <w:tc>
          <w:tcPr>
            <w:tcW w:w="53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9</w:t>
            </w:r>
          </w:p>
        </w:tc>
        <w:tc>
          <w:tcPr>
            <w:tcW w:w="6061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  <w:r w:rsidRPr="00DB00D2">
              <w:rPr>
                <w:sz w:val="28"/>
                <w:szCs w:val="28"/>
              </w:rPr>
              <w:t>Умение сделать общий вывод</w:t>
            </w:r>
          </w:p>
        </w:tc>
        <w:tc>
          <w:tcPr>
            <w:tcW w:w="4090" w:type="dxa"/>
            <w:vAlign w:val="center"/>
          </w:tcPr>
          <w:p w:rsidR="000336B4" w:rsidRPr="00DB00D2" w:rsidRDefault="000336B4" w:rsidP="00DB00D2">
            <w:pPr>
              <w:pStyle w:val="1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Итоговая оценка: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Комментарий рецензента: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Дата: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Подпись рецензента: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Подпись ординатора:</w:t>
      </w:r>
    </w:p>
    <w:p w:rsidR="000336B4" w:rsidRPr="00DB00D2" w:rsidRDefault="000336B4" w:rsidP="00DB00D2">
      <w:pPr>
        <w:pStyle w:val="11"/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lastRenderedPageBreak/>
        <w:t>Содержание:</w:t>
      </w:r>
    </w:p>
    <w:p w:rsidR="000336B4" w:rsidRPr="00DB00D2" w:rsidRDefault="000336B4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Введение</w:t>
      </w:r>
    </w:p>
    <w:p w:rsidR="000336B4" w:rsidRDefault="003C3849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</w:t>
      </w:r>
    </w:p>
    <w:p w:rsidR="003C3849" w:rsidRDefault="003C3849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Патогенез</w:t>
      </w:r>
    </w:p>
    <w:p w:rsidR="003C3849" w:rsidRDefault="003C3849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</w:t>
      </w:r>
    </w:p>
    <w:p w:rsidR="003C3849" w:rsidRDefault="003C3849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0336B4" w:rsidRPr="00DB00D2" w:rsidRDefault="000336B4" w:rsidP="00DB00D2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00D2">
        <w:rPr>
          <w:sz w:val="28"/>
          <w:szCs w:val="28"/>
        </w:rPr>
        <w:t>Список используемой литературы</w:t>
      </w:r>
    </w:p>
    <w:p w:rsidR="000336B4" w:rsidRPr="00DB00D2" w:rsidRDefault="000336B4" w:rsidP="00DB00D2">
      <w:pPr>
        <w:pStyle w:val="11"/>
        <w:spacing w:line="360" w:lineRule="auto"/>
        <w:ind w:left="720"/>
        <w:jc w:val="both"/>
        <w:rPr>
          <w:sz w:val="28"/>
          <w:szCs w:val="28"/>
        </w:rPr>
      </w:pPr>
    </w:p>
    <w:p w:rsidR="00782309" w:rsidRPr="00DB00D2" w:rsidRDefault="00782309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Pr="00DB00D2" w:rsidRDefault="003C3849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Pr="003C3849" w:rsidRDefault="003C3849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849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</w:p>
    <w:p w:rsidR="000336B4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– патологический процесс, при котором определяется наличие ткани по морфологическим и функциональным свойствам подобной эндометрию вне полости матки.</w:t>
      </w:r>
    </w:p>
    <w:p w:rsidR="005B701F" w:rsidRDefault="00DB00D2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генитальный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генитальном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наружные и внутренние половые органы (матка, маточные трубы, яичники, влагалище, вульва). </w:t>
      </w:r>
    </w:p>
    <w:p w:rsidR="00DB00D2" w:rsidRDefault="00DB00D2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поражаются органы за пределами половой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частыми разновидностями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кишечника,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послеоперационных рубцов и мочевого пузыря. Значительно реже встречается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мочеточников, почек, легких и других органов.</w:t>
      </w: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49" w:rsidRDefault="003C3849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A" w:rsidRPr="003C3849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84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Классификация </w:t>
      </w:r>
      <w:proofErr w:type="gramStart"/>
      <w:r w:rsidRPr="003C3849">
        <w:rPr>
          <w:rFonts w:ascii="Times New Roman" w:hAnsi="Times New Roman" w:cs="Times New Roman"/>
          <w:sz w:val="28"/>
          <w:szCs w:val="28"/>
          <w:u w:val="single"/>
        </w:rPr>
        <w:t>внутреннего</w:t>
      </w:r>
      <w:proofErr w:type="gramEnd"/>
      <w:r w:rsidRPr="003C3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3849">
        <w:rPr>
          <w:rFonts w:ascii="Times New Roman" w:hAnsi="Times New Roman" w:cs="Times New Roman"/>
          <w:sz w:val="28"/>
          <w:szCs w:val="28"/>
          <w:u w:val="single"/>
        </w:rPr>
        <w:t>эндометриоза</w:t>
      </w:r>
      <w:proofErr w:type="spellEnd"/>
      <w:r w:rsidRPr="003C3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0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00D2">
        <w:rPr>
          <w:rFonts w:ascii="Times New Roman" w:hAnsi="Times New Roman" w:cs="Times New Roman"/>
          <w:sz w:val="28"/>
          <w:szCs w:val="28"/>
        </w:rPr>
        <w:t>тадия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I – патологический процесс ограничен подслизистой оболочкой тела матки;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0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00D2">
        <w:rPr>
          <w:rFonts w:ascii="Times New Roman" w:hAnsi="Times New Roman" w:cs="Times New Roman"/>
          <w:sz w:val="28"/>
          <w:szCs w:val="28"/>
        </w:rPr>
        <w:t>тадия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II – патологический процесс переходит на мышечные слои;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0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00D2">
        <w:rPr>
          <w:rFonts w:ascii="Times New Roman" w:hAnsi="Times New Roman" w:cs="Times New Roman"/>
          <w:sz w:val="28"/>
          <w:szCs w:val="28"/>
        </w:rPr>
        <w:t>тадия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III – распространение патологического процесса на всю толщу мышечной оболочки матки до ее серозного покрова;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0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B00D2">
        <w:rPr>
          <w:rFonts w:ascii="Times New Roman" w:hAnsi="Times New Roman" w:cs="Times New Roman"/>
          <w:sz w:val="28"/>
          <w:szCs w:val="28"/>
        </w:rPr>
        <w:t>тадия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IV– вовлечение в патологический процесс, помимо матки, париетальной брюшины малого таза и соседних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ретроцервикальной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локализации: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ретроцервикальной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локализации общепризнана клиническая классификация, определяющая объем </w:t>
      </w:r>
      <w:r w:rsidR="005B701F">
        <w:rPr>
          <w:rFonts w:ascii="Times New Roman" w:hAnsi="Times New Roman" w:cs="Times New Roman"/>
          <w:sz w:val="28"/>
          <w:szCs w:val="28"/>
        </w:rPr>
        <w:t>вмешательства и тактику лечения</w:t>
      </w:r>
      <w:r w:rsidRPr="00DB0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стадия I –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эндометриоидные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очаги располагаются в пределах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ректовагинальной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клетчатки;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стадия II – прорастание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ткани в шейку матки и стенку влагалища с образованием мелких кист и в серозный покров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ректосигмоидного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отдела и прямой кишки; 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>стадия III – распространение патологического процесса на крестцово-маточные связки, серозный и мышечный покров прямой кишки;</w:t>
      </w:r>
    </w:p>
    <w:p w:rsidR="009B232A" w:rsidRPr="00DB00D2" w:rsidRDefault="009B232A" w:rsidP="009B2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 стадия IV – вовлечение в патологический процесс слизистой оболочки прямой кишки с распространением процесса на брюшину прямокишечно-маточного пространства с образованием спаечного процесса в области придатков матки, а также распространение процесса в сторону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параметрия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>, вовлекая дистальные отделы мочевыделительной системы (мочеточники и мочевой пузырь)</w:t>
      </w:r>
    </w:p>
    <w:p w:rsidR="00DB00D2" w:rsidRPr="00DB00D2" w:rsidRDefault="00DB00D2" w:rsidP="00DB0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00D2">
        <w:rPr>
          <w:rFonts w:ascii="Times New Roman" w:hAnsi="Times New Roman" w:cs="Times New Roman"/>
          <w:sz w:val="28"/>
          <w:szCs w:val="28"/>
          <w:u w:val="single"/>
        </w:rPr>
        <w:lastRenderedPageBreak/>
        <w:t>Патогенез</w:t>
      </w:r>
    </w:p>
    <w:p w:rsid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является многофакторным заболеванием, и, несмотря на длительное его изучение, этиология данного патологического процесса до сих пор не ясна. </w:t>
      </w:r>
    </w:p>
    <w:p w:rsid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D2">
        <w:rPr>
          <w:rFonts w:ascii="Times New Roman" w:hAnsi="Times New Roman" w:cs="Times New Roman"/>
          <w:sz w:val="28"/>
          <w:szCs w:val="28"/>
        </w:rPr>
        <w:t xml:space="preserve">Предложено множество теорий патогенеза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01F" w:rsidRDefault="000336B4" w:rsidP="005B701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1F">
        <w:rPr>
          <w:rFonts w:ascii="Times New Roman" w:hAnsi="Times New Roman" w:cs="Times New Roman"/>
          <w:sz w:val="28"/>
          <w:szCs w:val="28"/>
        </w:rPr>
        <w:t>имплантационная (теория ретроградной менструации J.</w:t>
      </w:r>
      <w:proofErr w:type="gramEnd"/>
      <w:r w:rsidRPr="005B701F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proofErr w:type="gramStart"/>
      <w:r w:rsidRPr="005B701F">
        <w:rPr>
          <w:rFonts w:ascii="Times New Roman" w:hAnsi="Times New Roman" w:cs="Times New Roman"/>
          <w:sz w:val="28"/>
          <w:szCs w:val="28"/>
        </w:rPr>
        <w:t>Sampson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, 1921), </w:t>
      </w:r>
      <w:proofErr w:type="gramEnd"/>
    </w:p>
    <w:p w:rsidR="005B701F" w:rsidRDefault="000336B4" w:rsidP="005B701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метапластическая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701F" w:rsidRDefault="000336B4" w:rsidP="005B701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эмбриональная, </w:t>
      </w:r>
    </w:p>
    <w:p w:rsidR="00DB00D2" w:rsidRPr="005B701F" w:rsidRDefault="000336B4" w:rsidP="005B701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дисгормональная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 и теория нарушения иммунного баланса и др. </w:t>
      </w:r>
    </w:p>
    <w:p w:rsidR="000336B4" w:rsidRPr="00DB00D2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0D2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гиперэстрогенией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>, резистентностью к прогестерону, воспалительными изменениями, индукцией неоангиогенеза, лежащих в основе инфильтративного роста, инвазии в окружающие ткани с последующей их деструкци</w:t>
      </w:r>
      <w:r w:rsidR="00DB00D2">
        <w:rPr>
          <w:rFonts w:ascii="Times New Roman" w:hAnsi="Times New Roman" w:cs="Times New Roman"/>
          <w:sz w:val="28"/>
          <w:szCs w:val="28"/>
        </w:rPr>
        <w:t>ей, распространения заболевания</w:t>
      </w:r>
      <w:r w:rsidRPr="00DB00D2">
        <w:rPr>
          <w:rFonts w:ascii="Times New Roman" w:hAnsi="Times New Roman" w:cs="Times New Roman"/>
          <w:sz w:val="28"/>
          <w:szCs w:val="28"/>
        </w:rPr>
        <w:t>, в последнее</w:t>
      </w:r>
      <w:proofErr w:type="gramEnd"/>
      <w:r w:rsidRPr="00DB00D2">
        <w:rPr>
          <w:rFonts w:ascii="Times New Roman" w:hAnsi="Times New Roman" w:cs="Times New Roman"/>
          <w:sz w:val="28"/>
          <w:szCs w:val="28"/>
        </w:rPr>
        <w:t xml:space="preserve"> десятилетие обсуждается роль в развити</w:t>
      </w:r>
      <w:r w:rsidR="00DB00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00D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>
        <w:rPr>
          <w:rFonts w:ascii="Times New Roman" w:hAnsi="Times New Roman" w:cs="Times New Roman"/>
          <w:sz w:val="28"/>
          <w:szCs w:val="28"/>
        </w:rPr>
        <w:t xml:space="preserve"> стволовых клеток</w:t>
      </w:r>
      <w:r w:rsidRPr="00DB00D2">
        <w:rPr>
          <w:rFonts w:ascii="Times New Roman" w:hAnsi="Times New Roman" w:cs="Times New Roman"/>
          <w:sz w:val="28"/>
          <w:szCs w:val="28"/>
        </w:rPr>
        <w:t>, генетических мутаций и эпигенетических факторов, к которым можно отнести факторы внешней среды и др.</w:t>
      </w:r>
    </w:p>
    <w:p w:rsidR="009B232A" w:rsidRDefault="000336B4" w:rsidP="00DB00D2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Видимо, существуют различные механизмы поражения мочевого пузыря при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эндометриозе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B232A" w:rsidRDefault="000336B4" w:rsidP="00DB00D2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Во-первых, возможно врастание в стенку мочевого пузыря очагов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эндометриоза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со стороны брюшной полости (с поверхности брюшины, покрывающей заднюю стенку мочевого пузыря). </w:t>
      </w:r>
    </w:p>
    <w:p w:rsidR="000336B4" w:rsidRPr="00DB00D2" w:rsidRDefault="000336B4" w:rsidP="00DB00D2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Во-вторых,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мочевого пузыря достаточно часто сочетается с аномалиями развития мочевой и половой системы. Врождённые аномалии развития мочеполовой системы, как важный фактор риска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эндометриоза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принципе, выявляют у 11 % девочек-подростков с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эндометриозом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И, наоборот, у 76 % пациенток с аномалиями развития мочеполовой системы и </w:t>
      </w:r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нарушенным оттоком менструальной крови диагностирую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Данная статистика может отчасти подтверждать так называемую эмбриональную теорию возникновения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эндометриоза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Согласно этой теории очаги </w:t>
      </w:r>
      <w:proofErr w:type="spellStart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>эндометриоза</w:t>
      </w:r>
      <w:proofErr w:type="spellEnd"/>
      <w:r w:rsidRPr="00DB00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могут развиваться из смещённых (перемещённых) участков тканей, из которых в процессе эмбрионального развития возникают внутренние половые органы.</w:t>
      </w:r>
    </w:p>
    <w:p w:rsidR="000336B4" w:rsidRPr="009B232A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B232A">
        <w:rPr>
          <w:sz w:val="28"/>
          <w:szCs w:val="28"/>
        </w:rPr>
        <w:t>Эндометриоз</w:t>
      </w:r>
      <w:proofErr w:type="spellEnd"/>
      <w:r w:rsidRPr="009B232A">
        <w:rPr>
          <w:sz w:val="28"/>
          <w:szCs w:val="28"/>
        </w:rPr>
        <w:t xml:space="preserve"> мочевого пузыря и мочеточников — </w:t>
      </w:r>
      <w:proofErr w:type="spellStart"/>
      <w:r w:rsidRPr="009B232A">
        <w:rPr>
          <w:sz w:val="28"/>
          <w:szCs w:val="28"/>
        </w:rPr>
        <w:t>экстрагенитальная</w:t>
      </w:r>
      <w:proofErr w:type="spellEnd"/>
      <w:r w:rsidRPr="009B232A">
        <w:rPr>
          <w:sz w:val="28"/>
          <w:szCs w:val="28"/>
        </w:rPr>
        <w:t xml:space="preserve"> форма </w:t>
      </w:r>
      <w:proofErr w:type="spellStart"/>
      <w:r w:rsidRPr="009B232A">
        <w:rPr>
          <w:sz w:val="28"/>
          <w:szCs w:val="28"/>
        </w:rPr>
        <w:t>эндометриоза</w:t>
      </w:r>
      <w:proofErr w:type="spellEnd"/>
      <w:r w:rsidRPr="009B232A">
        <w:rPr>
          <w:sz w:val="28"/>
          <w:szCs w:val="28"/>
        </w:rPr>
        <w:t xml:space="preserve">, при которой ткань, функционально и морфологически подобная эндометрию, разрастается за границы полости матки. Частота поражения мочевого пузыря </w:t>
      </w:r>
      <w:proofErr w:type="spellStart"/>
      <w:r w:rsidRPr="009B232A">
        <w:rPr>
          <w:sz w:val="28"/>
          <w:szCs w:val="28"/>
        </w:rPr>
        <w:t>эндометриозом</w:t>
      </w:r>
      <w:proofErr w:type="spellEnd"/>
      <w:r w:rsidRPr="009B232A">
        <w:rPr>
          <w:sz w:val="28"/>
          <w:szCs w:val="28"/>
        </w:rPr>
        <w:t xml:space="preserve"> составляет около 1% от всех локализаций </w:t>
      </w:r>
      <w:proofErr w:type="spellStart"/>
      <w:r w:rsidRPr="009B232A">
        <w:rPr>
          <w:sz w:val="28"/>
          <w:szCs w:val="28"/>
        </w:rPr>
        <w:t>эндометриоидных</w:t>
      </w:r>
      <w:proofErr w:type="spellEnd"/>
      <w:r w:rsidRPr="009B232A">
        <w:rPr>
          <w:sz w:val="28"/>
          <w:szCs w:val="28"/>
        </w:rPr>
        <w:t xml:space="preserve"> очагов. Поражение мочеточников выявляется в 0,1% случаев.</w:t>
      </w:r>
    </w:p>
    <w:p w:rsidR="005B701F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B232A">
        <w:rPr>
          <w:sz w:val="28"/>
          <w:szCs w:val="28"/>
        </w:rPr>
        <w:t xml:space="preserve">Среди слоев стенки мочевого пузыря серозный поражается </w:t>
      </w:r>
      <w:proofErr w:type="spellStart"/>
      <w:r w:rsidRPr="009B232A">
        <w:rPr>
          <w:sz w:val="28"/>
          <w:szCs w:val="28"/>
        </w:rPr>
        <w:t>эндометриозом</w:t>
      </w:r>
      <w:proofErr w:type="spellEnd"/>
      <w:r w:rsidRPr="009B232A">
        <w:rPr>
          <w:sz w:val="28"/>
          <w:szCs w:val="28"/>
        </w:rPr>
        <w:t xml:space="preserve"> чаще всего, при распространении гетеротопий на мышечный слой нередко в процесс также вовлекается пузырно-маточная складка с образованием </w:t>
      </w:r>
      <w:proofErr w:type="spellStart"/>
      <w:r w:rsidRPr="009B232A">
        <w:rPr>
          <w:sz w:val="28"/>
          <w:szCs w:val="28"/>
        </w:rPr>
        <w:t>эндометриоидных</w:t>
      </w:r>
      <w:proofErr w:type="spellEnd"/>
      <w:r w:rsidRPr="009B232A">
        <w:rPr>
          <w:sz w:val="28"/>
          <w:szCs w:val="28"/>
        </w:rPr>
        <w:t xml:space="preserve"> инфильтратов.</w:t>
      </w:r>
      <w:proofErr w:type="gramEnd"/>
      <w:r w:rsidRPr="009B232A">
        <w:rPr>
          <w:sz w:val="28"/>
          <w:szCs w:val="28"/>
        </w:rPr>
        <w:t xml:space="preserve"> При </w:t>
      </w:r>
      <w:proofErr w:type="gramStart"/>
      <w:r w:rsidRPr="009B232A">
        <w:rPr>
          <w:sz w:val="28"/>
          <w:szCs w:val="28"/>
        </w:rPr>
        <w:t>инфильтративном</w:t>
      </w:r>
      <w:proofErr w:type="gramEnd"/>
      <w:r w:rsidRPr="009B232A">
        <w:rPr>
          <w:sz w:val="28"/>
          <w:szCs w:val="28"/>
        </w:rPr>
        <w:t xml:space="preserve"> </w:t>
      </w:r>
      <w:proofErr w:type="spellStart"/>
      <w:r w:rsidRPr="009B232A">
        <w:rPr>
          <w:sz w:val="28"/>
          <w:szCs w:val="28"/>
        </w:rPr>
        <w:t>эндометриозе</w:t>
      </w:r>
      <w:proofErr w:type="spellEnd"/>
      <w:r w:rsidRPr="009B232A">
        <w:rPr>
          <w:sz w:val="28"/>
          <w:szCs w:val="28"/>
        </w:rPr>
        <w:t xml:space="preserve"> треугольника мочевого пузыря процесс может распространяться на устья мочеточников. </w:t>
      </w:r>
    </w:p>
    <w:p w:rsidR="00D614C2" w:rsidRDefault="000336B4" w:rsidP="00D61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 xml:space="preserve">Стенки мочеточника при </w:t>
      </w: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D614C2">
        <w:rPr>
          <w:rFonts w:ascii="Times New Roman" w:hAnsi="Times New Roman" w:cs="Times New Roman"/>
          <w:sz w:val="28"/>
          <w:szCs w:val="28"/>
        </w:rPr>
        <w:t xml:space="preserve"> поражаются реже, несмотря на то, что мочеточник часто окружен забрюшинным фиброзом, который распространяется из пораженных процессом крестцово-маточных связок или подпаянной </w:t>
      </w: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 w:rsidRPr="00D614C2">
        <w:rPr>
          <w:rFonts w:ascii="Times New Roman" w:hAnsi="Times New Roman" w:cs="Times New Roman"/>
          <w:sz w:val="28"/>
          <w:szCs w:val="28"/>
        </w:rPr>
        <w:t xml:space="preserve"> кисты.</w:t>
      </w:r>
    </w:p>
    <w:p w:rsidR="00D614C2" w:rsidRDefault="00D614C2" w:rsidP="00D614C2">
      <w:pPr>
        <w:spacing w:line="360" w:lineRule="auto"/>
        <w:jc w:val="both"/>
        <w:rPr>
          <w:rFonts w:ascii="Times New Roman" w:hAnsi="Times New Roman" w:cs="Times New Roman"/>
          <w:color w:val="0F0A0A"/>
          <w:sz w:val="28"/>
          <w:szCs w:val="28"/>
        </w:rPr>
      </w:pPr>
      <w:r>
        <w:rPr>
          <w:rFonts w:ascii="Times New Roman" w:hAnsi="Times New Roman" w:cs="Times New Roman"/>
          <w:color w:val="0F0A0A"/>
          <w:sz w:val="28"/>
          <w:szCs w:val="28"/>
        </w:rPr>
        <w:t xml:space="preserve">Левый мочеточник поражается чаще, чем правый. </w:t>
      </w:r>
      <w:proofErr w:type="spellStart"/>
      <w:r w:rsidRPr="00DB00D2">
        <w:rPr>
          <w:rFonts w:ascii="Times New Roman" w:hAnsi="Times New Roman" w:cs="Times New Roman"/>
          <w:color w:val="0F0A0A"/>
          <w:sz w:val="28"/>
          <w:szCs w:val="28"/>
        </w:rPr>
        <w:t>Медиально</w:t>
      </w:r>
      <w:proofErr w:type="spellEnd"/>
      <w:r w:rsidRPr="00DB00D2">
        <w:rPr>
          <w:rFonts w:ascii="Times New Roman" w:hAnsi="Times New Roman" w:cs="Times New Roman"/>
          <w:color w:val="0F0A0A"/>
          <w:sz w:val="28"/>
          <w:szCs w:val="28"/>
        </w:rPr>
        <w:t xml:space="preserve"> к левой маточной трубе прилежит сигмовидная кишка, оказывающая д</w:t>
      </w:r>
      <w:r>
        <w:rPr>
          <w:rFonts w:ascii="Times New Roman" w:hAnsi="Times New Roman" w:cs="Times New Roman"/>
          <w:color w:val="0F0A0A"/>
          <w:sz w:val="28"/>
          <w:szCs w:val="28"/>
        </w:rPr>
        <w:t>авление на левую маточную трубу</w:t>
      </w:r>
      <w:r w:rsidRPr="00DB00D2">
        <w:rPr>
          <w:rFonts w:ascii="Times New Roman" w:hAnsi="Times New Roman" w:cs="Times New Roman"/>
          <w:color w:val="0F0A0A"/>
          <w:sz w:val="28"/>
          <w:szCs w:val="28"/>
        </w:rPr>
        <w:t xml:space="preserve">. Сигмовидная кишка имеет изогнутую форму, необходимую для более медленного прохождения по ней каловых масс, что необходимо для их уплотнения и окончательного формирования. Данная особенность продлевает время раздражения слизистой оболочки сигмовидной кишки уже плотными каловыми массами, повышая вероятность </w:t>
      </w:r>
      <w:r w:rsidRPr="00DB00D2">
        <w:rPr>
          <w:rFonts w:ascii="Times New Roman" w:hAnsi="Times New Roman" w:cs="Times New Roman"/>
          <w:color w:val="0F0A0A"/>
          <w:sz w:val="28"/>
          <w:szCs w:val="28"/>
        </w:rPr>
        <w:lastRenderedPageBreak/>
        <w:t>ее повреждения и воспаления. Это способствует повышению проницаемости ее стенки и попаданию кишечной флоры в брюшную полость с формированием здесь хронического воспаления, в которое вовлекается левая маточная труба с нарушением ее перистальтической активности, вероятно, достаточной для развития маточно-</w:t>
      </w:r>
      <w:proofErr w:type="spellStart"/>
      <w:r w:rsidRPr="00DB00D2">
        <w:rPr>
          <w:rFonts w:ascii="Times New Roman" w:hAnsi="Times New Roman" w:cs="Times New Roman"/>
          <w:color w:val="0F0A0A"/>
          <w:sz w:val="28"/>
          <w:szCs w:val="28"/>
        </w:rPr>
        <w:t>перитонеального</w:t>
      </w:r>
      <w:proofErr w:type="spellEnd"/>
      <w:r w:rsidRPr="00DB00D2">
        <w:rPr>
          <w:rFonts w:ascii="Times New Roman" w:hAnsi="Times New Roman" w:cs="Times New Roman"/>
          <w:color w:val="0F0A0A"/>
          <w:sz w:val="28"/>
          <w:szCs w:val="28"/>
        </w:rPr>
        <w:t xml:space="preserve"> рефлюкса. В подтверждение данной теории следует привести данные T. </w:t>
      </w:r>
      <w:proofErr w:type="spellStart"/>
      <w:r w:rsidRPr="00DB00D2">
        <w:rPr>
          <w:rFonts w:ascii="Times New Roman" w:hAnsi="Times New Roman" w:cs="Times New Roman"/>
          <w:color w:val="0F0A0A"/>
          <w:sz w:val="28"/>
          <w:szCs w:val="28"/>
        </w:rPr>
        <w:t>Jess</w:t>
      </w:r>
      <w:proofErr w:type="spellEnd"/>
      <w:r w:rsidRPr="00DB00D2">
        <w:rPr>
          <w:rFonts w:ascii="Times New Roman" w:hAnsi="Times New Roman" w:cs="Times New Roman"/>
          <w:color w:val="0F0A0A"/>
          <w:sz w:val="28"/>
          <w:szCs w:val="28"/>
        </w:rPr>
        <w:t xml:space="preserve"> и </w:t>
      </w:r>
      <w:proofErr w:type="spellStart"/>
      <w:r w:rsidRPr="00DB00D2">
        <w:rPr>
          <w:rFonts w:ascii="Times New Roman" w:hAnsi="Times New Roman" w:cs="Times New Roman"/>
          <w:color w:val="0F0A0A"/>
          <w:sz w:val="28"/>
          <w:szCs w:val="28"/>
        </w:rPr>
        <w:t>соавт</w:t>
      </w:r>
      <w:proofErr w:type="spellEnd"/>
      <w:r w:rsidRPr="00DB00D2">
        <w:rPr>
          <w:rFonts w:ascii="Times New Roman" w:hAnsi="Times New Roman" w:cs="Times New Roman"/>
          <w:color w:val="0F0A0A"/>
          <w:sz w:val="28"/>
          <w:szCs w:val="28"/>
        </w:rPr>
        <w:t xml:space="preserve">., которые обнаружили более высокую встречаемость хронических воспалительных заболеваний толстой кишки в популяции женщин, страдающих </w:t>
      </w:r>
      <w:proofErr w:type="spellStart"/>
      <w:r w:rsidRPr="00DB00D2">
        <w:rPr>
          <w:rFonts w:ascii="Times New Roman" w:hAnsi="Times New Roman" w:cs="Times New Roman"/>
          <w:color w:val="0F0A0A"/>
          <w:sz w:val="28"/>
          <w:szCs w:val="28"/>
        </w:rPr>
        <w:t>эндометриозом</w:t>
      </w:r>
      <w:proofErr w:type="spellEnd"/>
      <w:r w:rsidRPr="00DB00D2">
        <w:rPr>
          <w:rFonts w:ascii="Times New Roman" w:hAnsi="Times New Roman" w:cs="Times New Roman"/>
          <w:color w:val="0F0A0A"/>
          <w:sz w:val="28"/>
          <w:szCs w:val="28"/>
        </w:rPr>
        <w:t>.</w:t>
      </w:r>
    </w:p>
    <w:p w:rsidR="00D614C2" w:rsidRPr="009B232A" w:rsidRDefault="00D614C2" w:rsidP="00D61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Риск поражения мочеточника при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ректовагинальном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: распространенность ЭМ была значительно выше (12-18%) у пациентов с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ректовагинальными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узлами с диаметром &gt;3 см, чем у пациентов с меньшими узлами или без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ректовагинальных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узлов (0-1,6%)</w:t>
      </w:r>
    </w:p>
    <w:p w:rsidR="00D614C2" w:rsidRPr="009B232A" w:rsidRDefault="00D614C2" w:rsidP="00D61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Недавнее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gramStart"/>
      <w:r w:rsidRPr="009B232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B232A">
        <w:rPr>
          <w:rFonts w:ascii="Times New Roman" w:hAnsi="Times New Roman" w:cs="Times New Roman"/>
          <w:sz w:val="28"/>
          <w:szCs w:val="28"/>
          <w:lang w:val="en-US"/>
        </w:rPr>
        <w:t>Ceccaroni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B232A">
        <w:rPr>
          <w:rFonts w:ascii="Times New Roman" w:hAnsi="Times New Roman" w:cs="Times New Roman"/>
          <w:sz w:val="28"/>
          <w:szCs w:val="28"/>
        </w:rPr>
        <w:t>.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B232A">
        <w:rPr>
          <w:rFonts w:ascii="Times New Roman" w:hAnsi="Times New Roman" w:cs="Times New Roman"/>
          <w:sz w:val="28"/>
          <w:szCs w:val="28"/>
        </w:rPr>
        <w:t xml:space="preserve">., 2018) показало, что ЭМ тесно связан с широким вовлечением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параметрия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, возникающим из-за стойкого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9B232A">
        <w:rPr>
          <w:rFonts w:ascii="Times New Roman" w:hAnsi="Times New Roman" w:cs="Times New Roman"/>
          <w:sz w:val="28"/>
          <w:szCs w:val="28"/>
        </w:rPr>
        <w:t xml:space="preserve">, влияющего на задний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(маточно-крестцовые связки,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ректовагинальный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связки, боковые ректальный связки) и латеральный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(кардинальные связки, пузырно-маточные связки)</w:t>
      </w:r>
    </w:p>
    <w:p w:rsidR="00D614C2" w:rsidRPr="009B232A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Ретроспективное исследование </w:t>
      </w:r>
      <w:proofErr w:type="spellStart"/>
      <w:r w:rsidRPr="009B232A">
        <w:rPr>
          <w:rFonts w:ascii="Times New Roman" w:hAnsi="Times New Roman" w:cs="Times New Roman"/>
          <w:sz w:val="28"/>
          <w:szCs w:val="28"/>
          <w:lang w:val="en-US"/>
        </w:rPr>
        <w:t>Chapron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B232A">
        <w:rPr>
          <w:rFonts w:ascii="Times New Roman" w:hAnsi="Times New Roman" w:cs="Times New Roman"/>
          <w:sz w:val="28"/>
          <w:szCs w:val="28"/>
        </w:rPr>
        <w:t>.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B232A">
        <w:rPr>
          <w:rFonts w:ascii="Times New Roman" w:hAnsi="Times New Roman" w:cs="Times New Roman"/>
          <w:sz w:val="28"/>
          <w:szCs w:val="28"/>
        </w:rPr>
        <w:t>. (2010) из 29 пациентов с тяжелой обструкцией мочеточника обнаружили 38,2% внутренних поражений и 61,85% внешних поражений, тем самым демонстрируя, что также внешние поражения могут быть ответственны за обструкцию мочеточника.</w:t>
      </w:r>
    </w:p>
    <w:p w:rsidR="00D614C2" w:rsidRPr="009B232A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Наружная обструкция мочеточника часто вызвана вторичным фиброзом, возникающим вблизи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имплантатов </w:t>
      </w:r>
    </w:p>
    <w:p w:rsidR="00D614C2" w:rsidRPr="009B232A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Трудности диагностики ЭМ связаны с бессимптомным течением почти у 30%</w:t>
      </w:r>
    </w:p>
    <w:p w:rsidR="00D614C2" w:rsidRPr="009B232A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Симптомы неспецифичны (дисменорея,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неменструальная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тазовая боль)</w:t>
      </w:r>
    </w:p>
    <w:p w:rsidR="00D614C2" w:rsidRPr="009B232A" w:rsidRDefault="00D614C2" w:rsidP="00D61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lastRenderedPageBreak/>
        <w:t>В ряде случае прогрессирующая обструкция верхних мочевых путей приводит к бессимптомной потере функции почек</w:t>
      </w:r>
    </w:p>
    <w:p w:rsidR="000336B4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Под влиянием гормонов в </w:t>
      </w:r>
      <w:proofErr w:type="spellStart"/>
      <w:r w:rsidRPr="009B232A">
        <w:rPr>
          <w:sz w:val="28"/>
          <w:szCs w:val="28"/>
        </w:rPr>
        <w:t>эндометриоидных</w:t>
      </w:r>
      <w:proofErr w:type="spellEnd"/>
      <w:r w:rsidRPr="009B232A">
        <w:rPr>
          <w:sz w:val="28"/>
          <w:szCs w:val="28"/>
        </w:rPr>
        <w:t xml:space="preserve"> очагах происходят циклические изменения, подобные тем, что характерны для слизистой оболочки матки. </w:t>
      </w:r>
      <w:proofErr w:type="spellStart"/>
      <w:r w:rsidRPr="009B232A">
        <w:rPr>
          <w:sz w:val="28"/>
          <w:szCs w:val="28"/>
        </w:rPr>
        <w:t>Макроскопически</w:t>
      </w:r>
      <w:proofErr w:type="spellEnd"/>
      <w:r w:rsidRPr="009B232A">
        <w:rPr>
          <w:sz w:val="28"/>
          <w:szCs w:val="28"/>
        </w:rPr>
        <w:t xml:space="preserve"> очаг </w:t>
      </w:r>
      <w:proofErr w:type="spellStart"/>
      <w:r w:rsidRPr="009B232A">
        <w:rPr>
          <w:sz w:val="28"/>
          <w:szCs w:val="28"/>
        </w:rPr>
        <w:t>эндометриоза</w:t>
      </w:r>
      <w:proofErr w:type="spellEnd"/>
      <w:r w:rsidRPr="009B232A">
        <w:rPr>
          <w:sz w:val="28"/>
          <w:szCs w:val="28"/>
        </w:rPr>
        <w:t xml:space="preserve"> имеет форму узла плотной консистенции, что связано с формированием инфильтративно-рубцовых изменений вокруг очага, появившихся вследствие скопления кровяных частиц и ферментов.</w:t>
      </w:r>
    </w:p>
    <w:p w:rsidR="00D614C2" w:rsidRPr="009B232A" w:rsidRDefault="00D614C2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36B4" w:rsidRPr="009B232A" w:rsidRDefault="003C3849" w:rsidP="00DB00D2">
      <w:pPr>
        <w:pStyle w:val="2"/>
        <w:spacing w:before="0" w:beforeAutospacing="0" w:after="0" w:afterAutospacing="0" w:line="360" w:lineRule="auto"/>
        <w:jc w:val="both"/>
        <w:rPr>
          <w:b w:val="0"/>
          <w:spacing w:val="-2"/>
          <w:sz w:val="28"/>
          <w:szCs w:val="28"/>
          <w:u w:val="single"/>
        </w:rPr>
      </w:pPr>
      <w:r>
        <w:rPr>
          <w:b w:val="0"/>
          <w:spacing w:val="-2"/>
          <w:sz w:val="28"/>
          <w:szCs w:val="28"/>
          <w:u w:val="single"/>
        </w:rPr>
        <w:t>Клиническая картина</w:t>
      </w:r>
    </w:p>
    <w:p w:rsidR="005B701F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У третьей части пациенток с </w:t>
      </w:r>
      <w:proofErr w:type="spellStart"/>
      <w:r w:rsidRPr="009B232A">
        <w:rPr>
          <w:sz w:val="28"/>
          <w:szCs w:val="28"/>
        </w:rPr>
        <w:t>эндометриозом</w:t>
      </w:r>
      <w:proofErr w:type="spellEnd"/>
      <w:r w:rsidRPr="009B232A">
        <w:rPr>
          <w:sz w:val="28"/>
          <w:szCs w:val="28"/>
        </w:rPr>
        <w:t xml:space="preserve"> мочевого пузыря симптомы долгое время могут отсутствовать. Также нет прямой зависимости между имеющимися проявлениями и степенью поражения. Интенсивность симптомов зависит от фазы менструального цикла, они нарастают во второй фазе. </w:t>
      </w:r>
    </w:p>
    <w:p w:rsidR="000336B4" w:rsidRPr="009B232A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Характерными признаками </w:t>
      </w:r>
      <w:proofErr w:type="spellStart"/>
      <w:r w:rsidRPr="009B232A">
        <w:rPr>
          <w:sz w:val="28"/>
          <w:szCs w:val="28"/>
        </w:rPr>
        <w:t>эндометриоза</w:t>
      </w:r>
      <w:proofErr w:type="spellEnd"/>
      <w:r w:rsidRPr="009B232A">
        <w:rPr>
          <w:sz w:val="28"/>
          <w:szCs w:val="28"/>
        </w:rPr>
        <w:t xml:space="preserve"> </w:t>
      </w:r>
      <w:r w:rsidR="00D614C2">
        <w:rPr>
          <w:sz w:val="28"/>
          <w:szCs w:val="28"/>
        </w:rPr>
        <w:t>мочевыводящих путей</w:t>
      </w:r>
      <w:r w:rsidRPr="009B232A">
        <w:rPr>
          <w:sz w:val="28"/>
          <w:szCs w:val="28"/>
        </w:rPr>
        <w:t xml:space="preserve"> являются:</w:t>
      </w:r>
    </w:p>
    <w:p w:rsidR="000336B4" w:rsidRPr="009B232A" w:rsidRDefault="000336B4" w:rsidP="00DB00D2">
      <w:pPr>
        <w:numPr>
          <w:ilvl w:val="0"/>
          <w:numId w:val="3"/>
        </w:numPr>
        <w:spacing w:after="4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Боли или ощущение тяжести в нижней части живота, в пояснице, в малом тазу. Различного характера и интенсивности, боли вызваны воспалительным процессом, воздействием на нервные окончания, спайками.</w:t>
      </w:r>
    </w:p>
    <w:p w:rsidR="000336B4" w:rsidRPr="009B232A" w:rsidRDefault="000336B4" w:rsidP="00DB00D2">
      <w:pPr>
        <w:numPr>
          <w:ilvl w:val="0"/>
          <w:numId w:val="3"/>
        </w:numPr>
        <w:spacing w:after="4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Появление в моче крови — циклическая гематурия — один из основных признаков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мочевого пузыря. Как правило, частицы крови в моче появляются перед менструацией или во время нее.</w:t>
      </w:r>
    </w:p>
    <w:p w:rsidR="000336B4" w:rsidRPr="009B232A" w:rsidRDefault="000336B4" w:rsidP="00DB00D2">
      <w:pPr>
        <w:numPr>
          <w:ilvl w:val="0"/>
          <w:numId w:val="3"/>
        </w:numPr>
        <w:spacing w:after="4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Учащенное мочеиспускание — характерный симптом при поражении мочевыводящих путей, при этом процесс нередко становится болезненным.</w:t>
      </w:r>
    </w:p>
    <w:p w:rsidR="000336B4" w:rsidRPr="009B232A" w:rsidRDefault="000336B4" w:rsidP="00DB00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При отсутствии своевременного и качественного лечения развиваются различные осложнения. Заболевание сопровождается формированием спаек, которые являются не только причиной боли, в большинстве случаев спайки приводят к бесплодию. Также существует риск нарушения пассажа мочи, что может привести к тяжелым заболеваниям почек. Стоит учесть вероятность </w:t>
      </w:r>
      <w:r w:rsidRPr="009B232A">
        <w:rPr>
          <w:sz w:val="28"/>
          <w:szCs w:val="28"/>
        </w:rPr>
        <w:lastRenderedPageBreak/>
        <w:t>опухолевых и гиперпластических процессов в различных органах, что связано с гормональными и иммунными нарушениями.</w:t>
      </w:r>
    </w:p>
    <w:p w:rsidR="000336B4" w:rsidRPr="009B232A" w:rsidRDefault="000336B4" w:rsidP="00DB00D2">
      <w:pPr>
        <w:spacing w:line="360" w:lineRule="auto"/>
        <w:jc w:val="both"/>
        <w:rPr>
          <w:rFonts w:ascii="Times New Roman" w:hAnsi="Times New Roman" w:cs="Times New Roman"/>
          <w:color w:val="0F0A0A"/>
          <w:sz w:val="28"/>
          <w:szCs w:val="28"/>
          <w:u w:val="single"/>
        </w:rPr>
      </w:pPr>
      <w:r w:rsidRPr="009B232A">
        <w:rPr>
          <w:rFonts w:ascii="Times New Roman" w:hAnsi="Times New Roman" w:cs="Times New Roman"/>
          <w:color w:val="0F0A0A"/>
          <w:sz w:val="28"/>
          <w:szCs w:val="28"/>
          <w:u w:val="single"/>
        </w:rPr>
        <w:t>Диагностика</w:t>
      </w:r>
    </w:p>
    <w:p w:rsidR="000336B4" w:rsidRPr="009B232A" w:rsidRDefault="000336B4" w:rsidP="00DB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Специфическая лабораторная диагностика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не разработана.</w:t>
      </w:r>
    </w:p>
    <w:p w:rsidR="000336B4" w:rsidRPr="000336B4" w:rsidRDefault="000336B4" w:rsidP="00DB0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стандартного гинекологического обследования (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бимануальный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ректовагинальное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обследование,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кольпоскопия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цитологическое исследование соскобов из шейки матки) рекомендованными методами диагностики при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мочевого пузыря являются: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Трансвагинальное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УЗИ — проводится для выявления изменений в стенке матки, диагностики объемных образований, оценки их размеров и т.п.</w:t>
      </w:r>
      <w:r w:rsidRPr="009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</w:rPr>
        <w:t xml:space="preserve">Рекомендовано назначение ультразвукового исследования органов малого таза (УЗИ) ультразвуковым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трансвагинальным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датчиком (при наличии) у пациенток с подозрением на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в качестве первичной инструментальной диагностики заболевания. УЗИ необходимо провести для диагностики подозреваемого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, даже если гинекологический осмотр не выявил патологии для диагностики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эндометриомы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глубокого инфильтративного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с вовлечением кишечника, мочевого пузыря или мочеточника.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Трансабдоминальное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трансвагинальное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УЗИ мочевого пузыря — позволяет оценить толщину стенок, структуру, выявить различные образования 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гиперэхогенные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включения, определить объем остаточной мочи, исключить затеки мочи в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парапузырное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и др.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УЗИ почек — показано при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ретроцервикальном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наличии инфильтратов в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параметрии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Урография — позволяет оценить общее состояние мочевыводящих путей, обнаружить патологические очаги в мочевыводящих путях.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Цистоскопия — возможна с биопсией при поражении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позадипузырной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клетчатки — один из основных методов диагностики, в </w:t>
      </w:r>
      <w:proofErr w:type="gram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осматриваются стенки мочевого пузыря, уретры, устья мочеточников.</w:t>
      </w:r>
    </w:p>
    <w:p w:rsidR="000336B4" w:rsidRPr="000336B4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Томография (компьютерная или магнитно-резонансная) — служит для оценки степени распространения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эндометриоза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расположенные рядом с маткой органы.</w:t>
      </w:r>
    </w:p>
    <w:p w:rsidR="000336B4" w:rsidRPr="009B232A" w:rsidRDefault="000336B4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Лапароскопия — наиболее информативный метод диагностики, позволяющий оценить состояние матки и яичников, обнаружить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эндометриоидные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очаги в наружном слое стенки мочевого пузыря, а также выявить очаги </w:t>
      </w:r>
      <w:proofErr w:type="spellStart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эндометриоза</w:t>
      </w:r>
      <w:proofErr w:type="spellEnd"/>
      <w:r w:rsidRP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брюшине.</w:t>
      </w:r>
      <w:r w:rsidR="00DB00D2" w:rsidRPr="009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D2" w:rsidRPr="009B232A">
        <w:rPr>
          <w:rFonts w:ascii="Times New Roman" w:hAnsi="Times New Roman" w:cs="Times New Roman"/>
          <w:sz w:val="28"/>
          <w:szCs w:val="28"/>
        </w:rPr>
        <w:t xml:space="preserve">Рекомендована лапароскопия для верификации диагноза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, определения степени распространения, клинических форм, выявления инфильтративного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эндометриом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, сочетанных заболеваний. Лапароскопия при подозрении на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должна быть предложена в следующих ситуациях: когда для пациентки приоритетным является наступление беременности; наличие болевого синдрома и отсутствие эффекта от консервативного лечения. Рекомендовано для подтверждения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проведение патологоанатомического исследования операционного материала.  </w:t>
      </w:r>
      <w:proofErr w:type="gramStart"/>
      <w:r w:rsidR="00DB00D2" w:rsidRPr="009B232A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морфологический результат подтверждает диагноз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>, отрицательный - не исключает его наличие</w:t>
      </w:r>
      <w:r w:rsidR="00D614C2">
        <w:rPr>
          <w:rFonts w:ascii="Times New Roman" w:hAnsi="Times New Roman" w:cs="Times New Roman"/>
          <w:sz w:val="28"/>
          <w:szCs w:val="28"/>
        </w:rPr>
        <w:t>.</w:t>
      </w:r>
      <w:r w:rsidR="00DB00D2" w:rsidRPr="009B2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яичников и глубокого инфильтративного </w:t>
      </w:r>
      <w:proofErr w:type="spellStart"/>
      <w:r w:rsidR="00DB00D2"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необходима биопсия для уточнения малигнизации.</w:t>
      </w:r>
      <w:proofErr w:type="gramEnd"/>
      <w:r w:rsidR="00DB00D2" w:rsidRPr="009B232A">
        <w:rPr>
          <w:rFonts w:ascii="Times New Roman" w:hAnsi="Times New Roman" w:cs="Times New Roman"/>
          <w:sz w:val="28"/>
          <w:szCs w:val="28"/>
        </w:rPr>
        <w:t xml:space="preserve"> Рекомендовано провести визуальную оценку состояния мочеточников, мочевого пузыря, а также кишечника при подозрении на их вовлечение в инфильтративный процесс, при предоперационной подготовке провести специальное обследование для определения объема операции</w:t>
      </w:r>
    </w:p>
    <w:p w:rsidR="00DB00D2" w:rsidRPr="009B232A" w:rsidRDefault="00DB00D2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Не рекомендовано использование МРТ малого таза для рутинной диагностики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. Следует рассмотреть проведение МРТ малого таза, чтобы оценить степень глубокого инфильтративного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с вовлечением кишечника, мочевого пузыря или мочеточника. Следует проводить МРТ (при возможности) при сочетанных заболеваниях –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(узловая или кистозная форма) у пациенток репродуктивного возраста для выбора доступа и объема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реконструктивнопластической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</w:rPr>
        <w:lastRenderedPageBreak/>
        <w:t>операции. Целесообразно обеспечить интерпретацию МРТ таза специалистом в области гинекологической визуализации.</w:t>
      </w:r>
    </w:p>
    <w:p w:rsidR="00DB00D2" w:rsidRPr="009B232A" w:rsidRDefault="00DB00D2" w:rsidP="00DB00D2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2A">
        <w:rPr>
          <w:rFonts w:ascii="Times New Roman" w:hAnsi="Times New Roman" w:cs="Times New Roman"/>
          <w:sz w:val="28"/>
          <w:szCs w:val="28"/>
        </w:rPr>
        <w:t>Рекомендовано использование визуальной аналоговой шкалы (приложение Г</w:t>
      </w:r>
      <w:proofErr w:type="gramStart"/>
      <w:r w:rsidRPr="009B23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232A">
        <w:rPr>
          <w:rFonts w:ascii="Times New Roman" w:hAnsi="Times New Roman" w:cs="Times New Roman"/>
          <w:sz w:val="28"/>
          <w:szCs w:val="28"/>
        </w:rPr>
        <w:t xml:space="preserve">), представляющей градацию боли от 0 (нет боли) до 10 (максимальная боль) в баллах у пациенток с подозрением на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ХТБ для характеристики выраженности болевого синдрома и воздействия его на качество жизни.</w:t>
      </w:r>
    </w:p>
    <w:p w:rsidR="00DB00D2" w:rsidRPr="003C3849" w:rsidRDefault="00DB00D2" w:rsidP="00D614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849">
        <w:rPr>
          <w:rFonts w:ascii="Times New Roman" w:hAnsi="Times New Roman" w:cs="Times New Roman"/>
          <w:sz w:val="28"/>
          <w:szCs w:val="28"/>
          <w:u w:val="single"/>
        </w:rPr>
        <w:t>Лечение</w:t>
      </w:r>
    </w:p>
    <w:p w:rsidR="00DB00D2" w:rsidRPr="009B232A" w:rsidRDefault="00DB00D2" w:rsidP="00DB00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Консервативное лечение при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мочевого пузыря возможно в период менопаузы, поскольку существует вероятность регресса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очагов. Также медикаментозная терапия назначается при наличии абсолютных противопоказаний к операции. В остальных случаях медикаменты назначаются радикально избавиться от очагов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можно только с помощью хирургического лечения. После операции при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мочевого пузыря назначение гормональных средств позволяет снизить риск развития рецидива до минимальных значений.</w:t>
      </w:r>
    </w:p>
    <w:p w:rsidR="00DB00D2" w:rsidRPr="009B232A" w:rsidRDefault="00DB00D2" w:rsidP="00DB00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Рекомендовано использование нестероидных противовоспалительных препаратов у пациенток с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для купирования болевого синдрома. Нестероидные противовоспалительные препараты могут быть назначены кратковременно до 3 месяцев при отсутствии противопоказаний самостоятельно или в сочетании с терапией первой линии. При недостаточном уменьшении болевого синдрома должно быть назначено другое лечение.</w:t>
      </w:r>
    </w:p>
    <w:p w:rsidR="000336B4" w:rsidRDefault="00DB00D2" w:rsidP="009B23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Рекомендовано использование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нейромодуляторов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(по анатомо-терапевтическо-химической классификации лекарственных средств (АТХ) – другие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психостимуляторы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препараты) у пациенток </w:t>
      </w:r>
      <w:r w:rsidRPr="00DB00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нейропатической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боли в качестве эмпирической медикаментозной терапии (без хирургической верификации диагноза) при </w:t>
      </w:r>
      <w:r w:rsidRPr="00DB00D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кистозных форм </w:t>
      </w:r>
      <w:proofErr w:type="spellStart"/>
      <w:r w:rsidRPr="00DB00D2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DB00D2">
        <w:rPr>
          <w:rFonts w:ascii="Times New Roman" w:hAnsi="Times New Roman" w:cs="Times New Roman"/>
          <w:sz w:val="28"/>
          <w:szCs w:val="28"/>
        </w:rPr>
        <w:t xml:space="preserve"> и других опухолей и опухолевидных образований гениталий</w:t>
      </w:r>
      <w:r w:rsidR="009B232A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Было предложено множество радиологических методов,  в настоящее время нет единого мнения о том, какой диагностический метод следует использовать для оценки.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Уретероскопия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используется для диагностики внутреннего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, хотя отсутствие поражения не исключает наличия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мочеточника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Помимо макроскопического распознавания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поражений, которые могут проявляться в виде как отечности различной формы и цвета,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уретероскопия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позволяет выполнить биопсию, гистологическое подтверждение и абляцию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Возможно выявление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мультифокальности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заболевания, измерения расстояния между нижними краями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отверстиями мочеточника, что имеет фундаментальное значение для выбора хирургического доступа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D614C2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Уретеролизис</w:t>
      </w:r>
      <w:proofErr w:type="spellEnd"/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Уретеролизис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заключается в изоляции и мобилизации мочеточника, освобождения его от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фиброзных поражений для снятия обструкции мочеточника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В настоящее время наиболее часто используется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доступ, поскольку он считается безопасным и эффективным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2A">
        <w:rPr>
          <w:rFonts w:ascii="Times New Roman" w:hAnsi="Times New Roman" w:cs="Times New Roman"/>
          <w:sz w:val="28"/>
          <w:szCs w:val="28"/>
        </w:rPr>
        <w:t>Противопоказан</w:t>
      </w:r>
      <w:proofErr w:type="gramEnd"/>
      <w:r w:rsidRPr="009B232A">
        <w:rPr>
          <w:rFonts w:ascii="Times New Roman" w:hAnsi="Times New Roman" w:cs="Times New Roman"/>
          <w:sz w:val="28"/>
          <w:szCs w:val="28"/>
        </w:rPr>
        <w:t xml:space="preserve"> при полной обструкции мочеточника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Является методом выбора при </w:t>
      </w:r>
      <w:proofErr w:type="gramStart"/>
      <w:r w:rsidRPr="009B232A">
        <w:rPr>
          <w:rFonts w:ascii="Times New Roman" w:hAnsi="Times New Roman" w:cs="Times New Roman"/>
          <w:sz w:val="28"/>
          <w:szCs w:val="28"/>
        </w:rPr>
        <w:t>минимальном</w:t>
      </w:r>
      <w:proofErr w:type="gramEnd"/>
      <w:r w:rsidRPr="009B232A">
        <w:rPr>
          <w:rFonts w:ascii="Times New Roman" w:hAnsi="Times New Roman" w:cs="Times New Roman"/>
          <w:sz w:val="28"/>
          <w:szCs w:val="28"/>
        </w:rPr>
        <w:t xml:space="preserve">, внешнем 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необструктивном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ЭМ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В настоящее время нет единого мнения о пользе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уретеролиза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у пациентов с тяжелой обструкцией мочеточника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232A">
        <w:rPr>
          <w:rFonts w:ascii="Times New Roman" w:hAnsi="Times New Roman" w:cs="Times New Roman"/>
          <w:sz w:val="28"/>
          <w:szCs w:val="28"/>
        </w:rPr>
        <w:t>Уретеролиз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должен быть выполнено перед резекцией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эндометриоидного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узла у всех пациентов с инфильтративным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, с целью определения </w:t>
      </w:r>
      <w:r w:rsidRPr="009B232A">
        <w:rPr>
          <w:rFonts w:ascii="Times New Roman" w:hAnsi="Times New Roman" w:cs="Times New Roman"/>
          <w:sz w:val="28"/>
          <w:szCs w:val="28"/>
        </w:rPr>
        <w:lastRenderedPageBreak/>
        <w:t xml:space="preserve">точного положения мочеточника и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ятрогенных повреждений мочеточника во время операции</w:t>
      </w:r>
      <w:r w:rsidR="00D61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32A" w:rsidRPr="00D614C2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>Резекция мочеточника с анастомозом конец в конец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Резекция мочеточника с анастомозом конец в конец обеспечивает более полное удаление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и окружающего фиброза из мочеточника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К краткосрочным и долгосрочным осложнениям относятся разрыв или стриктура в месте анастомоза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>Сегментарную резекцию мочеточника следует проводить пациентам с тяжелой или полной обструкцией мочеточника, с очевидным стенозом, но ограниченным верхним или средним отделом мочеточника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3C3849" w:rsidRDefault="003C3849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32A" w:rsidRPr="00D614C2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Уретеронеоцистостомия</w:t>
      </w:r>
      <w:proofErr w:type="spellEnd"/>
    </w:p>
    <w:p w:rsidR="009B232A" w:rsidRPr="00D614C2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614C2">
        <w:rPr>
          <w:rFonts w:ascii="Times New Roman" w:hAnsi="Times New Roman" w:cs="Times New Roman"/>
          <w:sz w:val="28"/>
          <w:szCs w:val="28"/>
        </w:rPr>
        <w:t>Уретеронеоцистостомия</w:t>
      </w:r>
      <w:proofErr w:type="spellEnd"/>
      <w:r w:rsidRPr="00D614C2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реимплантации</w:t>
      </w:r>
      <w:proofErr w:type="spellEnd"/>
      <w:r w:rsidRPr="00D614C2">
        <w:rPr>
          <w:rFonts w:ascii="Times New Roman" w:hAnsi="Times New Roman" w:cs="Times New Roman"/>
          <w:sz w:val="28"/>
          <w:szCs w:val="28"/>
        </w:rPr>
        <w:t xml:space="preserve"> мочеточника в новое место в стенке мочевого пузыря в обход фиброзной и </w:t>
      </w:r>
      <w:proofErr w:type="spellStart"/>
      <w:r w:rsidRPr="00D614C2"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 w:rsidRPr="00D614C2">
        <w:rPr>
          <w:rFonts w:ascii="Times New Roman" w:hAnsi="Times New Roman" w:cs="Times New Roman"/>
          <w:sz w:val="28"/>
          <w:szCs w:val="28"/>
        </w:rPr>
        <w:t xml:space="preserve"> области, в которую вовлечен мочеточник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P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Реимплантацию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мочеточника следует рассматривать в случае тяжелого поражения мочеточника, когда поражения мочеточника находятся рядом с местом прикрепления мочевого пузыря, или поражения охватывают стенку мочеточника вдоль большой части тазового мочеточника, и, таким образом, анастомоз «конец в конец» невозможен или случай стойкого и рецидивирующего стеноза после консервативного лечения </w:t>
      </w:r>
      <w:bookmarkEnd w:id="0"/>
      <w:r w:rsidRPr="009B23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232A">
        <w:rPr>
          <w:rFonts w:ascii="Times New Roman" w:hAnsi="Times New Roman" w:cs="Times New Roman"/>
          <w:sz w:val="28"/>
          <w:szCs w:val="28"/>
          <w:lang w:val="en-US"/>
        </w:rPr>
        <w:t>Vercellini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B232A">
        <w:rPr>
          <w:rFonts w:ascii="Times New Roman" w:hAnsi="Times New Roman" w:cs="Times New Roman"/>
          <w:sz w:val="28"/>
          <w:szCs w:val="28"/>
        </w:rPr>
        <w:t>.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B232A">
        <w:rPr>
          <w:rFonts w:ascii="Times New Roman" w:hAnsi="Times New Roman" w:cs="Times New Roman"/>
          <w:sz w:val="28"/>
          <w:szCs w:val="28"/>
        </w:rPr>
        <w:t>., 2000)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9B232A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2A">
        <w:rPr>
          <w:rFonts w:ascii="Times New Roman" w:hAnsi="Times New Roman" w:cs="Times New Roman"/>
          <w:sz w:val="28"/>
          <w:szCs w:val="28"/>
        </w:rPr>
        <w:t xml:space="preserve"> Прямой анастомоз без натяжения может быть выполнен в случае небольшого дефекта мочеточника, тогда как большие расстояния требуют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psoas</w:t>
      </w:r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bladder</w:t>
      </w:r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hitch</w:t>
      </w:r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9B232A">
        <w:rPr>
          <w:rFonts w:ascii="Times New Roman" w:hAnsi="Times New Roman" w:cs="Times New Roman"/>
          <w:sz w:val="28"/>
          <w:szCs w:val="28"/>
        </w:rPr>
        <w:t xml:space="preserve"> (фиксации задней стенки мочевого пузыря к сухожилию поясничной мышцы) или лоскута 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Боари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232A">
        <w:rPr>
          <w:rFonts w:ascii="Times New Roman" w:hAnsi="Times New Roman" w:cs="Times New Roman"/>
          <w:sz w:val="28"/>
          <w:szCs w:val="28"/>
        </w:rPr>
        <w:t>тубуляризация</w:t>
      </w:r>
      <w:proofErr w:type="spellEnd"/>
      <w:r w:rsidRPr="009B232A">
        <w:rPr>
          <w:rFonts w:ascii="Times New Roman" w:hAnsi="Times New Roman" w:cs="Times New Roman"/>
          <w:sz w:val="28"/>
          <w:szCs w:val="28"/>
        </w:rPr>
        <w:t xml:space="preserve"> лоскута мочевого пузыря для замены дистального отдела мочеточника) (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Stein</w:t>
      </w:r>
      <w:r w:rsidRPr="009B232A">
        <w:rPr>
          <w:rFonts w:ascii="Times New Roman" w:hAnsi="Times New Roman" w:cs="Times New Roman"/>
          <w:sz w:val="28"/>
          <w:szCs w:val="28"/>
        </w:rPr>
        <w:t xml:space="preserve"> 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B232A">
        <w:rPr>
          <w:rFonts w:ascii="Times New Roman" w:hAnsi="Times New Roman" w:cs="Times New Roman"/>
          <w:sz w:val="28"/>
          <w:szCs w:val="28"/>
        </w:rPr>
        <w:t>.</w:t>
      </w:r>
      <w:r w:rsidRPr="009B23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B232A">
        <w:rPr>
          <w:rFonts w:ascii="Times New Roman" w:hAnsi="Times New Roman" w:cs="Times New Roman"/>
          <w:sz w:val="28"/>
          <w:szCs w:val="28"/>
        </w:rPr>
        <w:t>., 2013)</w:t>
      </w:r>
      <w:r w:rsidR="00D614C2">
        <w:rPr>
          <w:rFonts w:ascii="Times New Roman" w:hAnsi="Times New Roman" w:cs="Times New Roman"/>
          <w:sz w:val="28"/>
          <w:szCs w:val="28"/>
        </w:rPr>
        <w:t>.</w:t>
      </w:r>
    </w:p>
    <w:p w:rsidR="00D614C2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C2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C2" w:rsidRPr="00D614C2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используемой литературы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 xml:space="preserve">1. Оперативная гинекология. Краснопольский В.И., </w:t>
      </w:r>
      <w:proofErr w:type="spellStart"/>
      <w:r w:rsidRPr="003C3849">
        <w:rPr>
          <w:color w:val="000000"/>
          <w:sz w:val="28"/>
          <w:szCs w:val="28"/>
        </w:rPr>
        <w:t>Буянова</w:t>
      </w:r>
      <w:proofErr w:type="spellEnd"/>
      <w:r w:rsidRPr="003C3849">
        <w:rPr>
          <w:color w:val="000000"/>
          <w:sz w:val="28"/>
          <w:szCs w:val="28"/>
        </w:rPr>
        <w:t xml:space="preserve"> С.Н., Щукина Н.А., Попов А.А., с. 127., 2013г.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>2. Урология сегодня», № 1 (60) 2020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 xml:space="preserve">3. Клиника и диагностика </w:t>
      </w:r>
      <w:proofErr w:type="spellStart"/>
      <w:r w:rsidRPr="003C3849">
        <w:rPr>
          <w:color w:val="000000"/>
          <w:sz w:val="28"/>
          <w:szCs w:val="28"/>
        </w:rPr>
        <w:t>эндометриоза</w:t>
      </w:r>
      <w:proofErr w:type="spellEnd"/>
      <w:r w:rsidRPr="003C3849">
        <w:rPr>
          <w:color w:val="000000"/>
          <w:sz w:val="28"/>
          <w:szCs w:val="28"/>
        </w:rPr>
        <w:t xml:space="preserve"> мочевыводящих путей / А. М. </w:t>
      </w:r>
      <w:proofErr w:type="spellStart"/>
      <w:r w:rsidRPr="003C3849">
        <w:rPr>
          <w:color w:val="000000"/>
          <w:sz w:val="28"/>
          <w:szCs w:val="28"/>
        </w:rPr>
        <w:t>Хачатрян</w:t>
      </w:r>
      <w:proofErr w:type="spellEnd"/>
      <w:r w:rsidRPr="003C3849">
        <w:rPr>
          <w:color w:val="000000"/>
          <w:sz w:val="28"/>
          <w:szCs w:val="28"/>
        </w:rPr>
        <w:t xml:space="preserve">, М. В. Мельников, В. Д. </w:t>
      </w:r>
      <w:proofErr w:type="spellStart"/>
      <w:r w:rsidRPr="003C3849">
        <w:rPr>
          <w:color w:val="000000"/>
          <w:sz w:val="28"/>
          <w:szCs w:val="28"/>
        </w:rPr>
        <w:t>Чупрынин</w:t>
      </w:r>
      <w:proofErr w:type="spellEnd"/>
      <w:r w:rsidRPr="003C3849">
        <w:rPr>
          <w:color w:val="000000"/>
          <w:sz w:val="28"/>
          <w:szCs w:val="28"/>
        </w:rPr>
        <w:t xml:space="preserve"> [и др.] // Акушерство и гинекология. – 2013. – № 12. – С. 52-57.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 xml:space="preserve">4. ХИРУРГИЧЕСКОЕ ЛЕЧЕНИЕ </w:t>
      </w:r>
      <w:proofErr w:type="gramStart"/>
      <w:r w:rsidRPr="003C3849">
        <w:rPr>
          <w:color w:val="000000"/>
          <w:sz w:val="28"/>
          <w:szCs w:val="28"/>
        </w:rPr>
        <w:t>ИНФИЛЬТРАТИВНОГО</w:t>
      </w:r>
      <w:proofErr w:type="gramEnd"/>
      <w:r w:rsidRPr="003C3849">
        <w:rPr>
          <w:color w:val="000000"/>
          <w:sz w:val="28"/>
          <w:szCs w:val="28"/>
        </w:rPr>
        <w:t xml:space="preserve"> ЭНДОМЕТРИОЗА МОЧЕВЫВОДЯЩИХ ПУТЕЙ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>ХАЧАТРЯН А. М.1, ЧУПРЫНИН В. Д.2, ХИЛЬКЕВИЧ Е. Г.3,4, ПАВЛОВИЧ С. В.3, МЕЛЬНИКОВ М. В.5, ГАС А. И.6</w:t>
      </w:r>
    </w:p>
    <w:p w:rsidR="00D614C2" w:rsidRPr="003C3849" w:rsidRDefault="00D614C2" w:rsidP="003C3849">
      <w:pPr>
        <w:pStyle w:val="a5"/>
        <w:jc w:val="both"/>
        <w:rPr>
          <w:color w:val="000000"/>
          <w:sz w:val="28"/>
          <w:szCs w:val="28"/>
        </w:rPr>
      </w:pPr>
      <w:r w:rsidRPr="003C3849">
        <w:rPr>
          <w:color w:val="000000"/>
          <w:sz w:val="28"/>
          <w:szCs w:val="28"/>
        </w:rPr>
        <w:t xml:space="preserve">5. </w:t>
      </w:r>
      <w:proofErr w:type="gramStart"/>
      <w:r w:rsidRPr="003C3849">
        <w:rPr>
          <w:color w:val="000000"/>
          <w:sz w:val="28"/>
          <w:szCs w:val="28"/>
        </w:rPr>
        <w:t>Маринкин</w:t>
      </w:r>
      <w:proofErr w:type="gramEnd"/>
      <w:r w:rsidRPr="003C3849">
        <w:rPr>
          <w:color w:val="000000"/>
          <w:sz w:val="28"/>
          <w:szCs w:val="28"/>
        </w:rPr>
        <w:t xml:space="preserve"> И.О., Феофилов И.В. Успешное хирургическое лечение </w:t>
      </w:r>
      <w:proofErr w:type="spellStart"/>
      <w:r w:rsidRPr="003C3849">
        <w:rPr>
          <w:color w:val="000000"/>
          <w:sz w:val="28"/>
          <w:szCs w:val="28"/>
        </w:rPr>
        <w:t>эндометриоза</w:t>
      </w:r>
      <w:proofErr w:type="spellEnd"/>
      <w:r w:rsidRPr="003C3849">
        <w:rPr>
          <w:color w:val="000000"/>
          <w:sz w:val="28"/>
          <w:szCs w:val="28"/>
        </w:rPr>
        <w:t xml:space="preserve"> мочевого пузыря. Акушерство и гинекология. 2018; 4: 150-4. https://dx.doi.org/10.18565/aig.2018.4.150-154</w:t>
      </w:r>
    </w:p>
    <w:p w:rsidR="003C3849" w:rsidRPr="003C3849" w:rsidRDefault="003C3849" w:rsidP="003C3849">
      <w:pPr>
        <w:pStyle w:val="1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3C3849">
        <w:rPr>
          <w:rFonts w:ascii="Times New Roman" w:hAnsi="Times New Roman" w:cs="Times New Roman"/>
          <w:b w:val="0"/>
          <w:color w:val="auto"/>
        </w:rPr>
        <w:t xml:space="preserve">6. </w:t>
      </w:r>
      <w:proofErr w:type="spellStart"/>
      <w:r w:rsidRPr="003C3849">
        <w:rPr>
          <w:rFonts w:ascii="Times New Roman" w:hAnsi="Times New Roman" w:cs="Times New Roman"/>
          <w:b w:val="0"/>
          <w:color w:val="auto"/>
        </w:rPr>
        <w:t>Эндометриоз</w:t>
      </w:r>
      <w:proofErr w:type="spellEnd"/>
      <w:r w:rsidRPr="003C3849">
        <w:rPr>
          <w:rFonts w:ascii="Times New Roman" w:hAnsi="Times New Roman" w:cs="Times New Roman"/>
          <w:b w:val="0"/>
          <w:color w:val="auto"/>
        </w:rPr>
        <w:t xml:space="preserve"> мочевыводящих путей: обзор 19 случаев</w:t>
      </w:r>
    </w:p>
    <w:p w:rsidR="003C3849" w:rsidRPr="003C3849" w:rsidRDefault="003C3849" w:rsidP="003C38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3C38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Суреш</w:t>
        </w:r>
        <w:proofErr w:type="spellEnd"/>
        <w:r w:rsidRPr="003C38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38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Кумар</w:t>
        </w:r>
        <w:proofErr w:type="spellEnd"/>
      </w:hyperlink>
      <w:r w:rsidRPr="003C3849">
        <w:rPr>
          <w:rStyle w:val="author-sup-separator"/>
          <w:rFonts w:ascii="Times New Roman" w:hAnsi="Times New Roman" w:cs="Times New Roman"/>
          <w:sz w:val="28"/>
          <w:szCs w:val="28"/>
          <w:vertAlign w:val="superscript"/>
        </w:rPr>
        <w:t> </w:t>
      </w:r>
      <w:hyperlink r:id="rId7" w:anchor="affiliation-1" w:tooltip="Отделение урологии, IPGME и R, Больница SSKM, Калькутта, Индия." w:history="1">
        <w:r w:rsidRPr="003C38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1F1F1"/>
            <w:vertAlign w:val="superscript"/>
          </w:rPr>
          <w:t>1</w:t>
        </w:r>
      </w:hyperlink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"https://pubmed.ncbi.nlm.nih.gov/?term=Tiwari+P&amp;cauthor_id=22346093"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Пунит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Тивари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"https://pubmed.ncbi.nlm.nih.gov/?term=Sharma+P&amp;cauthor_id=22346093"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Прамод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Шарма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"https://pubmed.ncbi.nlm.nih.gov/?term=Goel+A&amp;cauthor_id=22346093"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Амит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Гоэль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"https://pubmed.ncbi.nlm.nih.gov/?term=Singh+JP&amp;cauthor_id=22346093"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Джитендра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П. Сингх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"https://pubmed.ncbi.nlm.nih.gov/?term=Vijay+MK&amp;cauthor_id=22346093"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Мукеш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К. </w:t>
      </w:r>
      <w:proofErr w:type="spell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Виджай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"https://pubmed.ncbi.nlm.nih.gov/?term=Gupta+S&amp;cauthor_id=22346093"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Сандип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Гупта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"https://pubmed.ncbi.nlm.nih.gov/?term=Bera+MK&amp;cauthor_id=22346093"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Малай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proofErr w:type="gram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Бера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  <w:r w:rsidRPr="003C3849">
        <w:rPr>
          <w:rStyle w:val="comma"/>
          <w:rFonts w:ascii="Times New Roman" w:hAnsi="Times New Roman" w:cs="Times New Roman"/>
          <w:sz w:val="28"/>
          <w:szCs w:val="28"/>
        </w:rPr>
        <w:t>, </w:t>
      </w:r>
      <w:proofErr w:type="spellStart"/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begin"/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instrText xml:space="preserve"> HYPERLINK "https://pubmed.ncbi.nlm.nih.gov/?term=Kundu+AK&amp;cauthor_id=22346093" </w:instrTex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separate"/>
      </w:r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Ануп</w:t>
      </w:r>
      <w:proofErr w:type="spellEnd"/>
      <w:r w:rsidRPr="003C3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Кунду</w:t>
      </w:r>
      <w:r w:rsidRPr="003C3849">
        <w:rPr>
          <w:rStyle w:val="authors-list-item"/>
          <w:rFonts w:ascii="Times New Roman" w:hAnsi="Times New Roman" w:cs="Times New Roman"/>
          <w:sz w:val="28"/>
          <w:szCs w:val="28"/>
        </w:rPr>
        <w:fldChar w:fldCharType="end"/>
      </w:r>
    </w:p>
    <w:p w:rsidR="00D614C2" w:rsidRPr="003C3849" w:rsidRDefault="00D614C2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A" w:rsidRPr="00DB00D2" w:rsidRDefault="009B232A" w:rsidP="00D6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32A" w:rsidRPr="00DB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06B"/>
    <w:multiLevelType w:val="hybridMultilevel"/>
    <w:tmpl w:val="005C3EDC"/>
    <w:lvl w:ilvl="0" w:tplc="0D1EB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82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E1F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EF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08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AFB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E8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A7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2B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C1AC7"/>
    <w:multiLevelType w:val="hybridMultilevel"/>
    <w:tmpl w:val="ED26698E"/>
    <w:lvl w:ilvl="0" w:tplc="03B23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F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9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C1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A3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A3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5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9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E5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4233C"/>
    <w:multiLevelType w:val="hybridMultilevel"/>
    <w:tmpl w:val="F92008F4"/>
    <w:lvl w:ilvl="0" w:tplc="C0620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C5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2EF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CE8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65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0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42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0C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0F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D0CCC"/>
    <w:multiLevelType w:val="hybridMultilevel"/>
    <w:tmpl w:val="6642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D14"/>
    <w:multiLevelType w:val="hybridMultilevel"/>
    <w:tmpl w:val="8C24C908"/>
    <w:lvl w:ilvl="0" w:tplc="E02471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C6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C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CF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6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CA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6C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64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A9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435BB"/>
    <w:multiLevelType w:val="hybridMultilevel"/>
    <w:tmpl w:val="15BEA0F6"/>
    <w:lvl w:ilvl="0" w:tplc="675C9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04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C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E9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02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C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4A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F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E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B0036"/>
    <w:multiLevelType w:val="multilevel"/>
    <w:tmpl w:val="AAAE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A3AF6"/>
    <w:multiLevelType w:val="hybridMultilevel"/>
    <w:tmpl w:val="708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3E95"/>
    <w:multiLevelType w:val="hybridMultilevel"/>
    <w:tmpl w:val="46A0EEB0"/>
    <w:lvl w:ilvl="0" w:tplc="9F900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AB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A2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AF5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43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AD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0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084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E0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F4EE5"/>
    <w:multiLevelType w:val="hybridMultilevel"/>
    <w:tmpl w:val="AD3446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6493A"/>
    <w:multiLevelType w:val="hybridMultilevel"/>
    <w:tmpl w:val="055E4FBC"/>
    <w:lvl w:ilvl="0" w:tplc="6F6E2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E5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2C1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C65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9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20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4F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3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D37FD"/>
    <w:multiLevelType w:val="hybridMultilevel"/>
    <w:tmpl w:val="32FA20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3151C1"/>
    <w:multiLevelType w:val="hybridMultilevel"/>
    <w:tmpl w:val="2ECC90F8"/>
    <w:lvl w:ilvl="0" w:tplc="E6E48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4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2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ED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A2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A62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2E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EF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E72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D664A"/>
    <w:multiLevelType w:val="multilevel"/>
    <w:tmpl w:val="C21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37390"/>
    <w:multiLevelType w:val="hybridMultilevel"/>
    <w:tmpl w:val="3C7A5E5E"/>
    <w:lvl w:ilvl="0" w:tplc="95184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05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6B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4E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7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2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CA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29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20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B4"/>
    <w:rsid w:val="000336B4"/>
    <w:rsid w:val="002D3465"/>
    <w:rsid w:val="003C3849"/>
    <w:rsid w:val="005B701F"/>
    <w:rsid w:val="00782309"/>
    <w:rsid w:val="009B232A"/>
    <w:rsid w:val="00D614C2"/>
    <w:rsid w:val="00D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4"/>
  </w:style>
  <w:style w:type="paragraph" w:styleId="1">
    <w:name w:val="heading 1"/>
    <w:basedOn w:val="a"/>
    <w:next w:val="a"/>
    <w:link w:val="10"/>
    <w:uiPriority w:val="9"/>
    <w:qFormat/>
    <w:rsid w:val="0003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1"/>
    <w:rsid w:val="000336B4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03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6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3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3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DB00D2"/>
    <w:rPr>
      <w:i/>
      <w:iCs/>
    </w:rPr>
  </w:style>
  <w:style w:type="paragraph" w:styleId="aa">
    <w:name w:val="List Paragraph"/>
    <w:basedOn w:val="a"/>
    <w:uiPriority w:val="34"/>
    <w:qFormat/>
    <w:rsid w:val="009B232A"/>
    <w:pPr>
      <w:ind w:left="720"/>
      <w:contextualSpacing/>
    </w:pPr>
  </w:style>
  <w:style w:type="character" w:customStyle="1" w:styleId="authors-list-item">
    <w:name w:val="authors-list-item"/>
    <w:basedOn w:val="a0"/>
    <w:rsid w:val="003C3849"/>
  </w:style>
  <w:style w:type="character" w:styleId="ab">
    <w:name w:val="Hyperlink"/>
    <w:basedOn w:val="a0"/>
    <w:uiPriority w:val="99"/>
    <w:semiHidden/>
    <w:unhideWhenUsed/>
    <w:rsid w:val="003C3849"/>
    <w:rPr>
      <w:color w:val="0000FF"/>
      <w:u w:val="single"/>
    </w:rPr>
  </w:style>
  <w:style w:type="character" w:customStyle="1" w:styleId="author-sup-separator">
    <w:name w:val="author-sup-separator"/>
    <w:basedOn w:val="a0"/>
    <w:rsid w:val="003C3849"/>
  </w:style>
  <w:style w:type="character" w:customStyle="1" w:styleId="comma">
    <w:name w:val="comma"/>
    <w:basedOn w:val="a0"/>
    <w:rsid w:val="003C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4"/>
  </w:style>
  <w:style w:type="paragraph" w:styleId="1">
    <w:name w:val="heading 1"/>
    <w:basedOn w:val="a"/>
    <w:next w:val="a"/>
    <w:link w:val="10"/>
    <w:uiPriority w:val="9"/>
    <w:qFormat/>
    <w:rsid w:val="0003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1"/>
    <w:rsid w:val="000336B4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03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6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3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3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DB00D2"/>
    <w:rPr>
      <w:i/>
      <w:iCs/>
    </w:rPr>
  </w:style>
  <w:style w:type="paragraph" w:styleId="aa">
    <w:name w:val="List Paragraph"/>
    <w:basedOn w:val="a"/>
    <w:uiPriority w:val="34"/>
    <w:qFormat/>
    <w:rsid w:val="009B232A"/>
    <w:pPr>
      <w:ind w:left="720"/>
      <w:contextualSpacing/>
    </w:pPr>
  </w:style>
  <w:style w:type="character" w:customStyle="1" w:styleId="authors-list-item">
    <w:name w:val="authors-list-item"/>
    <w:basedOn w:val="a0"/>
    <w:rsid w:val="003C3849"/>
  </w:style>
  <w:style w:type="character" w:styleId="ab">
    <w:name w:val="Hyperlink"/>
    <w:basedOn w:val="a0"/>
    <w:uiPriority w:val="99"/>
    <w:semiHidden/>
    <w:unhideWhenUsed/>
    <w:rsid w:val="003C3849"/>
    <w:rPr>
      <w:color w:val="0000FF"/>
      <w:u w:val="single"/>
    </w:rPr>
  </w:style>
  <w:style w:type="character" w:customStyle="1" w:styleId="author-sup-separator">
    <w:name w:val="author-sup-separator"/>
    <w:basedOn w:val="a0"/>
    <w:rsid w:val="003C3849"/>
  </w:style>
  <w:style w:type="character" w:customStyle="1" w:styleId="comma">
    <w:name w:val="comma"/>
    <w:basedOn w:val="a0"/>
    <w:rsid w:val="003C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203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med.ncbi.nlm.nih.gov/223460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Kumar+S&amp;cauthor_id=22346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15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2021-12-25T09:17:00Z</dcterms:created>
  <dcterms:modified xsi:type="dcterms:W3CDTF">2021-12-26T06:45:00Z</dcterms:modified>
</cp:coreProperties>
</file>