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8E" w:rsidRPr="00EE39F7" w:rsidRDefault="003A378E" w:rsidP="003A378E">
      <w:pPr>
        <w:pStyle w:val="Default"/>
      </w:pPr>
    </w:p>
    <w:p w:rsidR="003A378E" w:rsidRPr="00EE39F7" w:rsidRDefault="003A378E" w:rsidP="003A378E">
      <w:pPr>
        <w:pStyle w:val="Default"/>
        <w:jc w:val="center"/>
        <w:rPr>
          <w:sz w:val="22"/>
          <w:szCs w:val="28"/>
        </w:rPr>
      </w:pPr>
      <w:r w:rsidRPr="00EE39F7">
        <w:rPr>
          <w:sz w:val="22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</w:t>
      </w:r>
    </w:p>
    <w:p w:rsidR="003A378E" w:rsidRPr="00EE39F7" w:rsidRDefault="003A378E" w:rsidP="003A378E">
      <w:pPr>
        <w:pStyle w:val="Default"/>
        <w:jc w:val="center"/>
        <w:rPr>
          <w:sz w:val="22"/>
          <w:szCs w:val="28"/>
        </w:rPr>
      </w:pPr>
      <w:r w:rsidRPr="00EE39F7">
        <w:rPr>
          <w:sz w:val="22"/>
          <w:szCs w:val="28"/>
        </w:rPr>
        <w:t>Министерства здравоохранения Российской Федерации</w:t>
      </w: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2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2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2"/>
          <w:szCs w:val="28"/>
        </w:rPr>
      </w:pPr>
      <w:r w:rsidRPr="00EE39F7">
        <w:rPr>
          <w:sz w:val="22"/>
          <w:szCs w:val="28"/>
        </w:rPr>
        <w:t>Кафедра нервных болезней с курсом медицинской реабилитации ПО</w:t>
      </w:r>
    </w:p>
    <w:p w:rsidR="003A378E" w:rsidRPr="00EE39F7" w:rsidRDefault="003A378E" w:rsidP="003A378E">
      <w:pPr>
        <w:pStyle w:val="Default"/>
        <w:jc w:val="right"/>
        <w:rPr>
          <w:sz w:val="22"/>
          <w:szCs w:val="28"/>
        </w:rPr>
      </w:pPr>
      <w:r w:rsidRPr="00EE39F7">
        <w:rPr>
          <w:sz w:val="22"/>
          <w:szCs w:val="28"/>
        </w:rPr>
        <w:t>Зав.кафедрой: ДМН, проф. Прокопенко С.В</w:t>
      </w: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bCs/>
          <w:sz w:val="28"/>
          <w:szCs w:val="28"/>
        </w:rPr>
      </w:pPr>
    </w:p>
    <w:p w:rsidR="003A378E" w:rsidRPr="00EE39F7" w:rsidRDefault="003A378E" w:rsidP="003A378E">
      <w:pPr>
        <w:pStyle w:val="Default"/>
        <w:jc w:val="center"/>
        <w:rPr>
          <w:sz w:val="28"/>
          <w:szCs w:val="28"/>
        </w:rPr>
      </w:pPr>
      <w:r w:rsidRPr="00EE39F7">
        <w:rPr>
          <w:bCs/>
          <w:sz w:val="28"/>
          <w:szCs w:val="28"/>
        </w:rPr>
        <w:t>РЕФЕРАТ :</w:t>
      </w:r>
    </w:p>
    <w:p w:rsidR="003A378E" w:rsidRPr="00EE39F7" w:rsidRDefault="003A378E" w:rsidP="003A378E">
      <w:pPr>
        <w:pStyle w:val="Default"/>
        <w:jc w:val="center"/>
        <w:rPr>
          <w:sz w:val="48"/>
          <w:szCs w:val="28"/>
        </w:rPr>
      </w:pPr>
      <w:r w:rsidRPr="00EE39F7">
        <w:rPr>
          <w:bCs/>
          <w:sz w:val="48"/>
          <w:szCs w:val="28"/>
        </w:rPr>
        <w:t>«</w:t>
      </w:r>
      <w:r>
        <w:rPr>
          <w:bCs/>
          <w:sz w:val="48"/>
          <w:szCs w:val="28"/>
        </w:rPr>
        <w:t>Острый рассеянный энцефаломиелит</w:t>
      </w:r>
      <w:bookmarkStart w:id="0" w:name="_GoBack"/>
      <w:bookmarkEnd w:id="0"/>
      <w:r w:rsidRPr="00EE39F7">
        <w:rPr>
          <w:bCs/>
          <w:sz w:val="48"/>
          <w:szCs w:val="28"/>
        </w:rPr>
        <w:t>»</w:t>
      </w: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  <w:r w:rsidRPr="00EE39F7">
        <w:rPr>
          <w:sz w:val="28"/>
          <w:szCs w:val="28"/>
        </w:rPr>
        <w:t xml:space="preserve">Выполнила: </w:t>
      </w: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Ординатор второго</w:t>
      </w:r>
      <w:r w:rsidRPr="00EE39F7">
        <w:rPr>
          <w:sz w:val="28"/>
          <w:szCs w:val="28"/>
        </w:rPr>
        <w:t xml:space="preserve"> года обучения </w:t>
      </w:r>
    </w:p>
    <w:p w:rsidR="003A378E" w:rsidRPr="00EE39F7" w:rsidRDefault="003A378E" w:rsidP="003A378E">
      <w:pPr>
        <w:pStyle w:val="Default"/>
        <w:jc w:val="right"/>
        <w:rPr>
          <w:sz w:val="28"/>
          <w:szCs w:val="28"/>
        </w:rPr>
      </w:pPr>
      <w:r w:rsidRPr="00EE39F7">
        <w:rPr>
          <w:sz w:val="28"/>
          <w:szCs w:val="28"/>
        </w:rPr>
        <w:t>Потылицына Н.В</w:t>
      </w:r>
    </w:p>
    <w:p w:rsidR="003A378E" w:rsidRPr="00EE39F7" w:rsidRDefault="003A378E" w:rsidP="003A378E">
      <w:pPr>
        <w:pStyle w:val="ad"/>
        <w:shd w:val="clear" w:color="auto" w:fill="FFFFFF"/>
        <w:jc w:val="center"/>
        <w:rPr>
          <w:sz w:val="28"/>
          <w:szCs w:val="28"/>
        </w:rPr>
      </w:pPr>
    </w:p>
    <w:p w:rsidR="003A378E" w:rsidRPr="00EE39F7" w:rsidRDefault="003A378E" w:rsidP="003A378E">
      <w:pPr>
        <w:pStyle w:val="ad"/>
        <w:shd w:val="clear" w:color="auto" w:fill="FFFFFF"/>
        <w:jc w:val="center"/>
        <w:rPr>
          <w:sz w:val="28"/>
          <w:szCs w:val="28"/>
        </w:rPr>
      </w:pPr>
    </w:p>
    <w:p w:rsidR="003A378E" w:rsidRDefault="003A378E" w:rsidP="003A378E">
      <w:pPr>
        <w:pStyle w:val="ad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2020</w:t>
      </w:r>
      <w:r w:rsidRPr="00EE39F7">
        <w:rPr>
          <w:sz w:val="28"/>
          <w:szCs w:val="28"/>
        </w:rPr>
        <w:t xml:space="preserve"> г</w:t>
      </w:r>
    </w:p>
    <w:p w:rsidR="003A378E" w:rsidRDefault="003A378E">
      <w:pPr>
        <w:ind w:right="20"/>
        <w:jc w:val="both"/>
      </w:pPr>
    </w:p>
    <w:p w:rsidR="003A378E" w:rsidRDefault="003A378E">
      <w:pPr>
        <w:ind w:right="20"/>
        <w:jc w:val="both"/>
      </w:pPr>
    </w:p>
    <w:p w:rsidR="003A378E" w:rsidRDefault="003A378E">
      <w:pPr>
        <w:ind w:right="20"/>
        <w:jc w:val="both"/>
      </w:pPr>
    </w:p>
    <w:p w:rsidR="003A378E" w:rsidRDefault="003A378E">
      <w:pPr>
        <w:ind w:right="20"/>
        <w:jc w:val="both"/>
      </w:pPr>
    </w:p>
    <w:p w:rsidR="004C1C59" w:rsidRDefault="00337650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left="20" w:right="20"/>
        <w:jc w:val="both"/>
      </w:pPr>
      <w:r>
        <w:t xml:space="preserve">Острый рассеянный энцефаломиелит (острый диссеминированный энцефаломиелит, ОРЭМ) - острое однофазное демиелинизирующее заболевание нервной системы, характеризующийся наличием </w:t>
      </w:r>
      <w:r>
        <w:t>общемозговых и очаговых симптомов в результате иммунизации/инфекций [1].</w:t>
      </w:r>
    </w:p>
    <w:p w:rsidR="004C1C59" w:rsidRDefault="00337650">
      <w:pPr>
        <w:pStyle w:val="5"/>
        <w:shd w:val="clear" w:color="auto" w:fill="auto"/>
        <w:spacing w:after="244"/>
        <w:ind w:left="20" w:right="20"/>
        <w:jc w:val="both"/>
      </w:pPr>
      <w:r>
        <w:rPr>
          <w:rStyle w:val="30"/>
        </w:rPr>
        <w:t>В медицинской литературе имеются сообщения о повторных случаях заболевания и рецидивирующем ОРЭМ. Рецидивирующие эпизоды происходят в период нескольких месяцев и обычно с аналогичными</w:t>
      </w:r>
      <w:r>
        <w:rPr>
          <w:rStyle w:val="30"/>
        </w:rPr>
        <w:t xml:space="preserve"> клинико-лабораторно</w:t>
      </w:r>
      <w:r>
        <w:rPr>
          <w:rStyle w:val="30"/>
        </w:rPr>
        <w:softHyphen/>
        <w:t>рентгенологическими характеристиками - «рецидивирующий, возвратный или мультифазный ОРЭМ» [8].</w:t>
      </w:r>
    </w:p>
    <w:p w:rsidR="004C1C59" w:rsidRDefault="00337650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17" w:lineRule="exact"/>
        <w:ind w:left="20"/>
        <w:jc w:val="both"/>
      </w:pPr>
      <w:r>
        <w:t>Классификация:</w:t>
      </w:r>
    </w:p>
    <w:p w:rsidR="004C1C59" w:rsidRDefault="00337650">
      <w:pPr>
        <w:pStyle w:val="5"/>
        <w:shd w:val="clear" w:color="auto" w:fill="auto"/>
        <w:spacing w:after="0" w:line="317" w:lineRule="exact"/>
        <w:ind w:left="20" w:right="20"/>
        <w:jc w:val="both"/>
      </w:pPr>
      <w:r>
        <w:t>Единой классификации ОРЭМ не существует, однако выделяют его особые варианты: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41" w:lineRule="exact"/>
        <w:ind w:left="20"/>
        <w:jc w:val="both"/>
      </w:pPr>
      <w:r>
        <w:t>острый геморрагический лейкоэнцефалит;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41" w:lineRule="exact"/>
        <w:ind w:left="20"/>
        <w:jc w:val="both"/>
      </w:pPr>
      <w:r>
        <w:t xml:space="preserve">острый </w:t>
      </w:r>
      <w:r>
        <w:t>поперечный миелит;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неврит зрительного нерва;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41" w:lineRule="exact"/>
        <w:ind w:left="20"/>
        <w:jc w:val="both"/>
      </w:pPr>
      <w:r>
        <w:t>оптикомиелит;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церебеллит;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256" w:line="341" w:lineRule="exact"/>
        <w:ind w:left="20"/>
        <w:jc w:val="both"/>
      </w:pPr>
      <w:r>
        <w:t>стволовой энцефалит.</w:t>
      </w:r>
    </w:p>
    <w:p w:rsidR="004C1C59" w:rsidRDefault="00337650">
      <w:pPr>
        <w:pStyle w:val="5"/>
        <w:shd w:val="clear" w:color="auto" w:fill="auto"/>
        <w:spacing w:after="236"/>
        <w:ind w:left="20" w:right="20"/>
        <w:jc w:val="both"/>
      </w:pPr>
      <w:r>
        <w:t xml:space="preserve">Данные формы заболевания могут быть связаны с инфекцией, вакцинацией, РС, васкулитами и другими причинами, которые в значительной части случаев остаются неизвестными (идиопатическая форма) - именно они кодируются в блоке </w:t>
      </w:r>
      <w:r>
        <w:rPr>
          <w:lang w:val="en-US"/>
        </w:rPr>
        <w:t>G</w:t>
      </w:r>
      <w:r w:rsidRPr="003A378E">
        <w:t>36-</w:t>
      </w:r>
      <w:r>
        <w:rPr>
          <w:lang w:val="en-US"/>
        </w:rPr>
        <w:t>G</w:t>
      </w:r>
      <w:r w:rsidRPr="003A378E">
        <w:t xml:space="preserve">37 </w:t>
      </w:r>
      <w:r>
        <w:t>как демиелинизирующие болез</w:t>
      </w:r>
      <w:r>
        <w:t>ни ЦНС [2].</w:t>
      </w:r>
    </w:p>
    <w:p w:rsidR="004C1C59" w:rsidRDefault="00337650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26" w:lineRule="exact"/>
        <w:ind w:left="20"/>
        <w:jc w:val="both"/>
      </w:pPr>
      <w:r>
        <w:t>ДИАГНОСТИКА И ЛЕЧЕНИЕ НА АМБУЛАТОРНОМ УРОВ</w:t>
      </w:r>
      <w:r>
        <w:rPr>
          <w:rStyle w:val="2"/>
        </w:rPr>
        <w:t>Н</w:t>
      </w:r>
      <w:r>
        <w:t>Е:</w:t>
      </w:r>
    </w:p>
    <w:p w:rsidR="004C1C59" w:rsidRDefault="00337650">
      <w:pPr>
        <w:pStyle w:val="5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326" w:lineRule="exact"/>
        <w:ind w:left="20"/>
        <w:jc w:val="both"/>
      </w:pPr>
      <w:r>
        <w:t>Диагностические критерии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Жалобы: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26" w:lineRule="exact"/>
        <w:ind w:left="20"/>
        <w:jc w:val="both"/>
      </w:pPr>
      <w:r>
        <w:t>раздражительность и вялость;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36" w:lineRule="exact"/>
        <w:ind w:left="20"/>
        <w:jc w:val="both"/>
      </w:pPr>
      <w:r>
        <w:t>повышение температуры и головные боли;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36" w:lineRule="exact"/>
        <w:ind w:left="20"/>
        <w:jc w:val="both"/>
      </w:pPr>
      <w:r>
        <w:t>нарушение речи;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36" w:lineRule="exact"/>
        <w:ind w:left="20"/>
        <w:jc w:val="both"/>
      </w:pPr>
      <w:r>
        <w:t>слабость в конечностях;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36" w:lineRule="exact"/>
        <w:ind w:left="20"/>
        <w:jc w:val="both"/>
      </w:pPr>
      <w:r>
        <w:t>онемение в конечностях;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36" w:lineRule="exact"/>
        <w:ind w:left="20"/>
        <w:jc w:val="both"/>
      </w:pPr>
      <w:r>
        <w:t>снижение зрения;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36" w:lineRule="exact"/>
        <w:ind w:left="20"/>
        <w:jc w:val="both"/>
      </w:pPr>
      <w:r>
        <w:t xml:space="preserve">приступы потери </w:t>
      </w:r>
      <w:r>
        <w:t>сознания.</w:t>
      </w:r>
    </w:p>
    <w:p w:rsidR="004C1C59" w:rsidRDefault="00337650">
      <w:pPr>
        <w:pStyle w:val="5"/>
        <w:shd w:val="clear" w:color="auto" w:fill="auto"/>
        <w:spacing w:after="0" w:line="336" w:lineRule="exact"/>
        <w:ind w:left="20"/>
        <w:jc w:val="both"/>
      </w:pPr>
      <w:r>
        <w:t>Анамнез: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36" w:lineRule="exact"/>
        <w:ind w:left="20"/>
        <w:jc w:val="both"/>
      </w:pPr>
      <w:r>
        <w:t>острое начало;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36" w:lineRule="exact"/>
        <w:ind w:left="20"/>
        <w:jc w:val="both"/>
      </w:pPr>
      <w:r>
        <w:t>перенесенные накануне ОРВИ, грипп, ангина (инфекция);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26" w:lineRule="exact"/>
        <w:ind w:left="20" w:right="20"/>
        <w:jc w:val="both"/>
      </w:pPr>
      <w:r>
        <w:t>определение связи между началом и развитием симптомов заболевания с перенесенными или имеющимися в момент осмотра признаками инфекционного заболевания;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601"/>
        </w:tabs>
        <w:spacing w:after="0" w:line="326" w:lineRule="exact"/>
        <w:ind w:left="20" w:right="20"/>
        <w:jc w:val="both"/>
      </w:pPr>
      <w:r>
        <w:t xml:space="preserve">сбор </w:t>
      </w:r>
      <w:r>
        <w:t>эпидемиологического анамнеза, а именно учитывать сезонность заболевания, географическое распространение возбудителя, путешествия, род деятельности пациента, контакт с инфекционными больными, животными и насекомыми - переносчиками инфекций;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>прививочный и им</w:t>
      </w:r>
      <w:r>
        <w:t xml:space="preserve">мунный статус пациента, в том числе обусловленный </w:t>
      </w:r>
      <w:r>
        <w:lastRenderedPageBreak/>
        <w:t>хроническими интоксикациями (наркомания, алкоголизм, токсикомания) и вторичными иммуннодефицитными состояниями;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326" w:lineRule="exact"/>
        <w:ind w:left="20"/>
        <w:jc w:val="both"/>
      </w:pPr>
      <w:r>
        <w:t>эпизоды изменения личности, галлюцинации;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326" w:lineRule="exact"/>
        <w:ind w:left="20"/>
        <w:jc w:val="both"/>
      </w:pPr>
      <w:r>
        <w:t>эпизоды приступов судорог с потерей или без потери с</w:t>
      </w:r>
      <w:r>
        <w:t>ознания.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Физикальное обследование: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26" w:lineRule="exact"/>
        <w:ind w:left="20" w:right="20"/>
        <w:jc w:val="both"/>
      </w:pPr>
      <w:r>
        <w:t>общесоматический осмотр с акцентом на контроль функции жизненно важных органов и систем (температура тела, частота дыхания, артериальное давление, частота и ритмичность пульса).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1060"/>
        <w:jc w:val="left"/>
      </w:pPr>
      <w:r>
        <w:t xml:space="preserve">общеинфекционный синдром - повышение </w:t>
      </w:r>
      <w:r>
        <w:t>температуры тела, озноб. Неврологический статус: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Общемозговой синдром: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26" w:lineRule="exact"/>
        <w:ind w:left="20"/>
        <w:jc w:val="both"/>
      </w:pPr>
      <w:r>
        <w:t>головокружение, светобоязнь, рвота, угнетение сознания, судороги;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>определение степени тяжести общемозгового синдрома (легкий, умеренный, выраженный).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Очаговый неврологический синдром: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26" w:lineRule="exact"/>
        <w:ind w:left="20"/>
        <w:jc w:val="both"/>
      </w:pPr>
      <w:r>
        <w:t>п</w:t>
      </w:r>
      <w:r>
        <w:t>оражение черепно - мозговых нервов;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/>
        <w:jc w:val="both"/>
      </w:pPr>
      <w:r>
        <w:t>наличие очаговых неврологических симптомов, то есть связанных с поражением определенной области головного мозга (парезы/параличи ЧМН; атаксия конечностей (чаще, чем атаксия ходьбы); нистагм и т.д.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Менингеальный синдром: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>наличие менингеальных знаков - ригидность затылочных мышц, симптомы Кернига, Брудзинского, Бехтерева, Лессажа, Боголепова.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Лабораторные исследования: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/>
        <w:jc w:val="both"/>
      </w:pPr>
      <w:r>
        <w:t>ОАК - лейкоцитоз, лейкоцитарная формула, СОЭ ускорено или в норме;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300" w:line="326" w:lineRule="exact"/>
        <w:ind w:left="20" w:right="20"/>
        <w:jc w:val="both"/>
      </w:pPr>
      <w:r>
        <w:t xml:space="preserve">общий анализ спинномозговой жидкости - </w:t>
      </w:r>
      <w:r>
        <w:t>возможны легкий/умеренный лимфоцитарный плеоцитоз/нормальный цитоз и легкое повышение белка.</w:t>
      </w:r>
    </w:p>
    <w:p w:rsidR="004C1C59" w:rsidRDefault="00337650">
      <w:pPr>
        <w:pStyle w:val="5"/>
        <w:shd w:val="clear" w:color="auto" w:fill="auto"/>
        <w:spacing w:after="0" w:line="326" w:lineRule="exact"/>
        <w:ind w:left="20"/>
        <w:jc w:val="both"/>
      </w:pPr>
      <w:r>
        <w:t>Инструментальные исследования: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/>
        <w:jc w:val="both"/>
      </w:pPr>
      <w:r>
        <w:t>МРТ головного мозга с контрастным усилением - крупные очаги, чаще несимметричные, сливные, чаще локализуются в 30-40% - базальные га</w:t>
      </w:r>
      <w:r>
        <w:t>нглии, в 30</w:t>
      </w:r>
      <w:r>
        <w:softHyphen/>
        <w:t>40% - таламус; в 45-55% - ствол мозга; в 30-40% - мозжечок и в 16-28% - спинной мозг, более чем в 1 сегменте;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/>
        <w:jc w:val="both"/>
      </w:pPr>
      <w:r>
        <w:t>ЭЭГ - синхронизация в а-диапозоне волн, 0-волны и пароксизмальная активность.</w:t>
      </w:r>
    </w:p>
    <w:p w:rsidR="004C1C59" w:rsidRDefault="00337650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after="352" w:line="270" w:lineRule="exact"/>
        <w:ind w:left="20"/>
        <w:jc w:val="left"/>
      </w:pPr>
      <w:r>
        <w:t>Диагностический алгоритм:</w:t>
      </w:r>
    </w:p>
    <w:p w:rsidR="004C1C59" w:rsidRDefault="00337650">
      <w:pPr>
        <w:pStyle w:val="5"/>
        <w:shd w:val="clear" w:color="auto" w:fill="auto"/>
        <w:spacing w:after="366" w:line="270" w:lineRule="exact"/>
        <w:ind w:left="20"/>
        <w:jc w:val="left"/>
      </w:pPr>
      <w:r>
        <w:t xml:space="preserve">Схема - 1. Диагностический </w:t>
      </w:r>
      <w:r>
        <w:t>алгоритм острого рассеянного энцефаломиелита</w:t>
      </w:r>
    </w:p>
    <w:p w:rsidR="004C1C59" w:rsidRDefault="003A378E">
      <w:pPr>
        <w:framePr w:h="6010" w:hSpace="758" w:wrap="notBeside" w:vAnchor="text" w:hAnchor="text" w:x="759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4872355" cy="3827145"/>
            <wp:effectExtent l="0" t="0" r="4445" b="1905"/>
            <wp:docPr id="3" name="Рисунок 1" descr="C:\Users\NEVRPO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RPO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59" w:rsidRDefault="004C1C59">
      <w:pPr>
        <w:spacing w:line="300" w:lineRule="exact"/>
      </w:pPr>
    </w:p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t>3) Дифференциальный диагноз и обоснование дополнительных исследований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544"/>
        <w:gridCol w:w="2136"/>
        <w:gridCol w:w="3053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Диагноз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Обоснования </w:t>
            </w:r>
            <w:r>
              <w:rPr>
                <w:rStyle w:val="1"/>
              </w:rPr>
              <w:t>для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дифференциальной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диагностики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Обследования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Критерии исключения диагноза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Инфекционный острый менингит, энцефалит, менингоэнцефалит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Острое начало с развития общемозгового, менингеального синдромов часто при наличии клиники текущего инфекционного </w:t>
            </w:r>
            <w:r>
              <w:rPr>
                <w:rStyle w:val="1"/>
              </w:rPr>
              <w:t>заболевания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компьютерная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томография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головного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мозга, осмотр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глазного дна,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люмбальная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пункция,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консультация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терапевта,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инфекциониста,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фтизиатра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after="0"/>
              <w:ind w:left="120"/>
              <w:jc w:val="left"/>
            </w:pPr>
            <w:r>
              <w:rPr>
                <w:rStyle w:val="1"/>
              </w:rPr>
              <w:t>наличие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общеинфекционного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синдрома;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0"/>
              <w:ind w:left="120"/>
              <w:jc w:val="left"/>
            </w:pPr>
            <w:r>
              <w:rPr>
                <w:rStyle w:val="1"/>
              </w:rPr>
              <w:t>наличие патологических изменений в ликворе - цитоз;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/>
              <w:jc w:val="both"/>
            </w:pPr>
            <w:r>
              <w:rPr>
                <w:rStyle w:val="1"/>
              </w:rPr>
              <w:t xml:space="preserve">подтверждение </w:t>
            </w:r>
            <w:r>
              <w:rPr>
                <w:rStyle w:val="1"/>
              </w:rPr>
              <w:t>инфекционистом острого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инфекционного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заболевания;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1"/>
              </w:rPr>
              <w:t>гнойный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Острое начало с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</w:pPr>
            <w:r>
              <w:rPr>
                <w:rStyle w:val="1"/>
              </w:rPr>
              <w:t>компьютерная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1"/>
              </w:rPr>
              <w:t>томография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</w:pPr>
            <w:r>
              <w:rPr>
                <w:rStyle w:val="1"/>
              </w:rPr>
              <w:t>• наличие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>
              <w:rPr>
                <w:rStyle w:val="1"/>
              </w:rPr>
              <w:t>общеинфекционного</w:t>
            </w:r>
          </w:p>
        </w:tc>
      </w:tr>
    </w:tbl>
    <w:p w:rsidR="004C1C59" w:rsidRDefault="004C1C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544"/>
        <w:gridCol w:w="2136"/>
        <w:gridCol w:w="3053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lastRenderedPageBreak/>
              <w:t>менингит,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энцефалит,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менингоэнцефалит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общемозгового, менингеального синдромов часто при наличии клиники </w:t>
            </w:r>
            <w:r>
              <w:rPr>
                <w:rStyle w:val="1"/>
              </w:rPr>
              <w:t>текущего соматического воспалительного заболевания (синуситы, пневмония и др.)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головного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мозга, осмотр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глазного дна,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люмбальная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пункция,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консультация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терапевта,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ЛОР-врача,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пульмонолога,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инфекциониста,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фтизиатра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180" w:line="270" w:lineRule="exact"/>
              <w:ind w:left="120"/>
              <w:jc w:val="left"/>
            </w:pPr>
            <w:r>
              <w:rPr>
                <w:rStyle w:val="1"/>
              </w:rPr>
              <w:t>синдрома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180" w:after="0"/>
              <w:ind w:left="120"/>
              <w:jc w:val="left"/>
            </w:pPr>
            <w:r>
              <w:rPr>
                <w:rStyle w:val="1"/>
              </w:rPr>
              <w:t xml:space="preserve">наличие патологических изменений в </w:t>
            </w:r>
            <w:r>
              <w:rPr>
                <w:rStyle w:val="1"/>
              </w:rPr>
              <w:t>ликворе - цитоз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after="0"/>
              <w:ind w:left="120"/>
              <w:jc w:val="left"/>
            </w:pPr>
            <w:r>
              <w:rPr>
                <w:rStyle w:val="1"/>
              </w:rPr>
              <w:t>подтверждение терапевтом/ЛОР врачом острого воспалительного соматического заболевания.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774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Рассеянный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склероз,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ремитирующее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течение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Парезы/параличи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конечностей;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Парезы/параличи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ЧМН;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Чувствительные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нарушения;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Неврит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зрительного нерва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люмбальная пункция; -МРТ с контрастным усилением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Наличие неврологических нарушений в прошлом, отсутствие лихорадки, нарушения сознания; вялого паралича, часто - болезненной радикулопатии.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По данным люмбальной пункции: наличие титра олигоклональных антител;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По данным МРТ: </w:t>
            </w:r>
            <w:r>
              <w:rPr>
                <w:rStyle w:val="1"/>
                <w:lang w:val="en-US"/>
              </w:rPr>
              <w:t>T</w:t>
            </w:r>
            <w:r w:rsidRPr="003A378E">
              <w:rPr>
                <w:rStyle w:val="1"/>
              </w:rPr>
              <w:t>2/</w:t>
            </w:r>
            <w:r>
              <w:rPr>
                <w:rStyle w:val="1"/>
                <w:lang w:val="en-US"/>
              </w:rPr>
              <w:t>Flair</w:t>
            </w:r>
            <w:r w:rsidRPr="003A378E">
              <w:rPr>
                <w:rStyle w:val="1"/>
              </w:rPr>
              <w:t xml:space="preserve"> </w:t>
            </w:r>
            <w:r>
              <w:rPr>
                <w:rStyle w:val="1"/>
              </w:rPr>
              <w:t>- очаги мелкие симмтеричные в перивентрикулярных, суб- и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юкстакортикальных отделах, мозолистом теле, а также в пределах 1сегмента спинного мозга.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Т1 - «черные» дыры</w:t>
            </w:r>
          </w:p>
        </w:tc>
      </w:tr>
    </w:tbl>
    <w:p w:rsidR="004C1C59" w:rsidRDefault="004C1C59">
      <w:pPr>
        <w:rPr>
          <w:sz w:val="2"/>
          <w:szCs w:val="2"/>
        </w:rPr>
      </w:pPr>
    </w:p>
    <w:p w:rsidR="004C1C59" w:rsidRDefault="0033765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447"/>
        </w:tabs>
        <w:spacing w:before="295"/>
        <w:ind w:left="20"/>
      </w:pPr>
      <w:bookmarkStart w:id="1" w:name="bookmark0"/>
      <w:r>
        <w:t>Тактика лечения:</w:t>
      </w:r>
      <w:bookmarkEnd w:id="1"/>
    </w:p>
    <w:p w:rsidR="004C1C59" w:rsidRDefault="00337650">
      <w:pPr>
        <w:pStyle w:val="5"/>
        <w:shd w:val="clear" w:color="auto" w:fill="auto"/>
        <w:spacing w:after="0"/>
        <w:ind w:left="20" w:right="20"/>
        <w:jc w:val="both"/>
      </w:pPr>
      <w:r>
        <w:t xml:space="preserve">На амбулаторном этапе предусмотрена лишь </w:t>
      </w:r>
      <w:r>
        <w:t>симптоматическая терапия - коррекция гипертермии, противорвотные средства при повторной рвоте, седативная терапия при психомоторном возбуждении и/или эпилептическом приступе - далее транспортировка в стационар.</w:t>
      </w:r>
    </w:p>
    <w:p w:rsidR="004C1C59" w:rsidRDefault="00337650">
      <w:pPr>
        <w:pStyle w:val="5"/>
        <w:shd w:val="clear" w:color="auto" w:fill="auto"/>
        <w:spacing w:after="0"/>
        <w:ind w:left="20"/>
        <w:jc w:val="both"/>
      </w:pPr>
      <w:r>
        <w:t xml:space="preserve">Этиопатогенетическое лечение на данном этапе </w:t>
      </w:r>
      <w:r>
        <w:t>не проводится.</w:t>
      </w:r>
    </w:p>
    <w:p w:rsidR="004C1C59" w:rsidRDefault="00337650">
      <w:pPr>
        <w:pStyle w:val="5"/>
        <w:shd w:val="clear" w:color="auto" w:fill="auto"/>
        <w:spacing w:after="0" w:line="317" w:lineRule="exact"/>
        <w:ind w:left="20" w:right="840"/>
        <w:jc w:val="left"/>
      </w:pPr>
      <w:r>
        <w:t>Немедикаментозное лечение Режим: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2" w:line="270" w:lineRule="exact"/>
        <w:ind w:left="20"/>
        <w:jc w:val="left"/>
      </w:pPr>
      <w:r>
        <w:t>возвышенное положение головы по отношению к туловищу;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244" w:line="326" w:lineRule="exact"/>
        <w:ind w:left="20" w:right="20"/>
        <w:jc w:val="left"/>
      </w:pPr>
      <w:r>
        <w:t xml:space="preserve">профилактика аспирации рвотных масс в дыхательные пути (поворот на бок). Диета: </w:t>
      </w:r>
      <w:r>
        <w:lastRenderedPageBreak/>
        <w:t>№ 15.</w:t>
      </w:r>
    </w:p>
    <w:p w:rsidR="004C1C59" w:rsidRDefault="00337650">
      <w:pPr>
        <w:pStyle w:val="5"/>
        <w:shd w:val="clear" w:color="auto" w:fill="auto"/>
        <w:spacing w:after="0"/>
        <w:ind w:left="20" w:right="20"/>
        <w:jc w:val="left"/>
      </w:pPr>
      <w:r>
        <w:t>Медикаментозное лечение: на данном этапе предусмотрена симптоматичес</w:t>
      </w:r>
      <w:r>
        <w:t>кая терапия при средней и тяжелой степени тяжести состояния При гипертермии (38 - 39 град. С)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20"/>
        <w:jc w:val="left"/>
      </w:pPr>
      <w:r>
        <w:t>парацетамол по 0,2 и 0,5 г; для взрослых 500 - 1000 мг;</w:t>
      </w:r>
    </w:p>
    <w:p w:rsidR="004C1C59" w:rsidRDefault="00337650">
      <w:pPr>
        <w:pStyle w:val="5"/>
        <w:shd w:val="clear" w:color="auto" w:fill="auto"/>
        <w:spacing w:after="0"/>
        <w:ind w:left="20" w:right="20"/>
        <w:jc w:val="left"/>
      </w:pPr>
      <w:r>
        <w:t xml:space="preserve">для детей в возрасте 6 - 12 лет 250 - 500 мг, 1 - 5 лет 120 - 250 мг, от 3 месяцев до 1 года 60 - 120 мг, </w:t>
      </w:r>
      <w:r>
        <w:t>до 3 месяцев 10 мг/кг внутрь;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42" w:line="270" w:lineRule="exact"/>
        <w:ind w:left="20"/>
        <w:jc w:val="left"/>
      </w:pPr>
      <w:r>
        <w:t>ибупрофен 0,2 г, для взрослых и детей старше 12 лет 300 - 400 мг внутрь.</w:t>
      </w:r>
    </w:p>
    <w:p w:rsidR="004C1C59" w:rsidRDefault="00337650">
      <w:pPr>
        <w:pStyle w:val="5"/>
        <w:shd w:val="clear" w:color="auto" w:fill="auto"/>
        <w:spacing w:after="6" w:line="270" w:lineRule="exact"/>
        <w:ind w:left="20"/>
        <w:jc w:val="left"/>
      </w:pPr>
      <w:r>
        <w:t>При рвоте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/>
        <w:ind w:left="20"/>
        <w:jc w:val="left"/>
      </w:pPr>
      <w:r>
        <w:t>метоклопрамид 2,0 (10 мг)</w:t>
      </w:r>
    </w:p>
    <w:p w:rsidR="004C1C59" w:rsidRDefault="00337650">
      <w:pPr>
        <w:pStyle w:val="5"/>
        <w:shd w:val="clear" w:color="auto" w:fill="auto"/>
        <w:spacing w:after="0"/>
        <w:ind w:left="20" w:right="20"/>
        <w:jc w:val="left"/>
      </w:pPr>
      <w:r>
        <w:t>взрослым: внутримышечно или внутривенно медленно (в течение не менее 3 минут) 10 мг.</w:t>
      </w:r>
    </w:p>
    <w:p w:rsidR="004C1C59" w:rsidRDefault="00337650">
      <w:pPr>
        <w:pStyle w:val="5"/>
        <w:shd w:val="clear" w:color="auto" w:fill="auto"/>
        <w:spacing w:after="0"/>
        <w:ind w:left="20" w:right="20"/>
        <w:jc w:val="left"/>
      </w:pPr>
      <w:r>
        <w:t xml:space="preserve">детям 1 - 18 лет, внутримышечно </w:t>
      </w:r>
      <w:r>
        <w:t>или внутривенно медленно (в течение не менее 3 минут) 100 - 150 мкг/кг (макс. 10 мг).</w:t>
      </w:r>
    </w:p>
    <w:p w:rsidR="004C1C59" w:rsidRDefault="00337650">
      <w:pPr>
        <w:pStyle w:val="5"/>
        <w:shd w:val="clear" w:color="auto" w:fill="auto"/>
        <w:spacing w:after="0"/>
        <w:ind w:left="20"/>
        <w:jc w:val="left"/>
      </w:pPr>
      <w:r>
        <w:t>При эпилептическом приступе и/или психомоторном возбуждении: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2"/>
        </w:tabs>
        <w:spacing w:after="0"/>
        <w:ind w:left="20"/>
        <w:jc w:val="left"/>
      </w:pPr>
      <w:r>
        <w:t>диазепам 10 мг</w:t>
      </w:r>
    </w:p>
    <w:p w:rsidR="004C1C59" w:rsidRDefault="00337650">
      <w:pPr>
        <w:pStyle w:val="5"/>
        <w:shd w:val="clear" w:color="auto" w:fill="auto"/>
        <w:spacing w:after="0"/>
        <w:ind w:left="20" w:right="20"/>
        <w:jc w:val="both"/>
      </w:pPr>
      <w:r>
        <w:rPr>
          <w:rStyle w:val="ab"/>
        </w:rPr>
        <w:t>Взрослым:</w:t>
      </w:r>
      <w:r>
        <w:t xml:space="preserve"> внутривенно/внутримышечно 0,15 - 0,25 мг/кг (обычно 10 - 20 мг); дозу можно повторит</w:t>
      </w:r>
      <w:r>
        <w:t>ь через 30 - 60 минут. Для профилактики судорог можно проводить медленную внутривенную инфузию (максимальная доза 3 мг/кг массы тела в течение 24 часов);</w:t>
      </w:r>
    </w:p>
    <w:p w:rsidR="004C1C59" w:rsidRDefault="00337650">
      <w:pPr>
        <w:pStyle w:val="5"/>
        <w:shd w:val="clear" w:color="auto" w:fill="auto"/>
        <w:spacing w:after="296"/>
        <w:ind w:left="20" w:right="20"/>
        <w:jc w:val="left"/>
      </w:pPr>
      <w:r>
        <w:t xml:space="preserve">Пожилым: дозы не должны быть больше половины обычно рекомендуемых доз; Детям 0,2 - 0,3 мг/кг массы </w:t>
      </w:r>
      <w:r>
        <w:t>тела (или 1 мг в расчете на каждый год) внутривенно. Дозу можно повторить при необходимости после 30 - 60 мин.</w:t>
      </w:r>
    </w:p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rPr>
          <w:rStyle w:val="aa"/>
        </w:rPr>
        <w:t>Перечень основных лекарственных средств [8]: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16"/>
        <w:gridCol w:w="4963"/>
        <w:gridCol w:w="1709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340"/>
              <w:jc w:val="left"/>
            </w:pPr>
            <w:r>
              <w:rPr>
                <w:rStyle w:val="1"/>
              </w:rPr>
              <w:t>Препараты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120" w:line="270" w:lineRule="exact"/>
              <w:ind w:left="360"/>
              <w:jc w:val="left"/>
            </w:pPr>
            <w:r>
              <w:rPr>
                <w:rStyle w:val="1"/>
              </w:rPr>
              <w:t>Разовая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120" w:after="0" w:line="270" w:lineRule="exact"/>
              <w:ind w:left="360"/>
              <w:jc w:val="left"/>
            </w:pPr>
            <w:r>
              <w:rPr>
                <w:rStyle w:val="1"/>
              </w:rPr>
              <w:t>доза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Кратность введения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УД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парацетамол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360"/>
              <w:jc w:val="left"/>
            </w:pPr>
            <w:r>
              <w:rPr>
                <w:rStyle w:val="1"/>
              </w:rPr>
              <w:t>по 0,2 и 0,5 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для взрослых 500 - 1000 мг;</w:t>
            </w:r>
            <w:r>
              <w:rPr>
                <w:rStyle w:val="1"/>
              </w:rPr>
              <w:t xml:space="preserve"> для детей в возрасте 6 - 12 лет 250-500 мг, 1 - 5 лет 120 - 250 мг, от 3 месяцев до 1 года 60 - 120 мг, до 3 месяцев 10 мг/кг внутрь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метоклопрамид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360"/>
              <w:jc w:val="left"/>
            </w:pPr>
            <w:r>
              <w:rPr>
                <w:rStyle w:val="1"/>
              </w:rPr>
              <w:t>10 мг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взрослым: /м или в/в медленно (в течение не менее 3 минут) 10 мг. детям 1 - 18 лет, в/м или в/в </w:t>
            </w:r>
            <w:r>
              <w:rPr>
                <w:rStyle w:val="1"/>
              </w:rPr>
              <w:t>медленно (в течение не менее 3 минут) 100 - 150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</w:t>
            </w:r>
          </w:p>
        </w:tc>
      </w:tr>
    </w:tbl>
    <w:p w:rsidR="004C1C59" w:rsidRDefault="004C1C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16"/>
        <w:gridCol w:w="4963"/>
        <w:gridCol w:w="1709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мкг/кг (макс. 10 мг).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диазепам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right="380"/>
            </w:pPr>
            <w:r>
              <w:rPr>
                <w:rStyle w:val="1"/>
              </w:rPr>
              <w:t>10 мг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Взрослым: в/в или в/м 0,15 - 0,25 мг/кг (обычно 10-20 мг); дозу можно повторить через 30 - 60 минут. Для профилактики судорог можно проводить медленную в/в инфузию</w:t>
            </w:r>
            <w:r>
              <w:rPr>
                <w:rStyle w:val="1"/>
              </w:rPr>
              <w:t xml:space="preserve"> (максимальная доза 3 мг/кг массы тела в течение 24 часов);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Пожилым: дозы не должны быть больше половины обычно рекомендуемых доз;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Детям 0,2 - 0,3 мг/кг массы тела (или 1 мг в расчете на каждый год) в/в. Дозу можно повторить при необходимости после 30 - 60</w:t>
            </w:r>
            <w:r>
              <w:rPr>
                <w:rStyle w:val="1"/>
              </w:rPr>
              <w:t xml:space="preserve"> мин.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</w:t>
            </w:r>
          </w:p>
        </w:tc>
      </w:tr>
    </w:tbl>
    <w:p w:rsidR="004C1C59" w:rsidRDefault="004C1C59">
      <w:pPr>
        <w:spacing w:line="300" w:lineRule="exact"/>
      </w:pPr>
    </w:p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rPr>
          <w:rStyle w:val="aa"/>
        </w:rPr>
        <w:t>Перечень дополнительных лекарственных средств [8]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16"/>
        <w:gridCol w:w="4963"/>
        <w:gridCol w:w="1709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Препараты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</w:pPr>
            <w:r>
              <w:rPr>
                <w:rStyle w:val="1"/>
              </w:rPr>
              <w:t>Разовая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</w:pPr>
            <w:r>
              <w:rPr>
                <w:rStyle w:val="1"/>
              </w:rPr>
              <w:t>доза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Кратность введения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УД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ибупрофен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0,2 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для взрослых и детей старше 12 лет 300-400 мг внутрь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натрий хлорид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200 мл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в/в 1 раз в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</w:t>
            </w:r>
          </w:p>
        </w:tc>
      </w:tr>
    </w:tbl>
    <w:p w:rsidR="004C1C59" w:rsidRDefault="004C1C59">
      <w:pPr>
        <w:spacing w:line="300" w:lineRule="exact"/>
      </w:pPr>
    </w:p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rPr>
          <w:rStyle w:val="aa"/>
        </w:rPr>
        <w:t xml:space="preserve">Алгоритм действий при неотложных </w:t>
      </w:r>
      <w:r>
        <w:rPr>
          <w:rStyle w:val="aa"/>
        </w:rPr>
        <w:t>ситуациях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560"/>
        <w:gridCol w:w="2126"/>
        <w:gridCol w:w="4546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Синдром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Препарат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60" w:firstLine="620"/>
              <w:jc w:val="left"/>
            </w:pPr>
            <w:r>
              <w:rPr>
                <w:rStyle w:val="1"/>
              </w:rPr>
              <w:t>Доза и кратность для взрослых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Доза и кратность для детей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Судорожный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Диазепам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10 - 20 мг 2,0 однократно.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Дети от 30 дней до 5 лет - в/в (медленно) 0,2 - 0,5 мг каждые 2 - 5 мин до максимальной дозы 5 мг, от 5 лет и старше 1 мг </w:t>
            </w:r>
            <w:r>
              <w:rPr>
                <w:rStyle w:val="1"/>
              </w:rPr>
              <w:t>каждые 2 - 5 мин до максимальной дозы 10 мг; при необходимости лечение можно повторить через 2 - 4 ч.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Психомоторно е возбуждение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Диазепам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10 - 20 мг - 2,0 однократно.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Дети от 30 дней до 5 лет в/в (медленно) 0,2 - 0,5 мг каждые 2 - 5 мин до максимальной </w:t>
            </w:r>
            <w:r>
              <w:rPr>
                <w:rStyle w:val="1"/>
              </w:rPr>
              <w:t>дозы 5 мг, от 5 лет и старше - 1 мг каждые 2-5 мин до максимальной дозы 10 мг; при необходимости лечение можно повторить через 2 - 4 ч.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60" w:line="270" w:lineRule="exact"/>
              <w:jc w:val="center"/>
            </w:pPr>
            <w:r>
              <w:rPr>
                <w:rStyle w:val="1"/>
              </w:rPr>
              <w:t>Диспептическ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</w:pPr>
            <w:r>
              <w:rPr>
                <w:rStyle w:val="1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120" w:line="270" w:lineRule="exact"/>
              <w:ind w:left="140"/>
              <w:jc w:val="left"/>
            </w:pPr>
            <w:r>
              <w:rPr>
                <w:rStyle w:val="1"/>
              </w:rPr>
              <w:t>Метоклопр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before="120" w:after="0" w:line="270" w:lineRule="exact"/>
              <w:ind w:left="140"/>
              <w:jc w:val="left"/>
            </w:pPr>
            <w:r>
              <w:rPr>
                <w:rStyle w:val="1"/>
              </w:rPr>
              <w:t>амид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ac"/>
              </w:rPr>
              <w:t>Взрослым и подросткам старше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Детям 3 - 14 лет: максимальная суточная доза — 0,5 мг </w:t>
            </w:r>
            <w:r>
              <w:rPr>
                <w:rStyle w:val="1"/>
              </w:rPr>
              <w:t>метоклопрамида на 1 кг массы</w:t>
            </w:r>
          </w:p>
        </w:tc>
      </w:tr>
    </w:tbl>
    <w:p w:rsidR="004C1C59" w:rsidRDefault="004C1C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560"/>
        <w:gridCol w:w="2126"/>
        <w:gridCol w:w="4546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ac"/>
              </w:rPr>
              <w:t>лет:</w:t>
            </w:r>
            <w:r>
              <w:rPr>
                <w:rStyle w:val="1"/>
              </w:rPr>
              <w:t xml:space="preserve"> 3 - 4 раза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тела, терапевтическая доза — 0,1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в сутки по 10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мг метоклопрамида на 1 кг массы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мг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тела.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метоклопрамид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а (1 ампула)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внутривенно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или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внутримышечн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о.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t>Другие виды лечения - нет.</w:t>
      </w:r>
    </w:p>
    <w:p w:rsidR="004C1C59" w:rsidRDefault="004C1C59">
      <w:pPr>
        <w:rPr>
          <w:sz w:val="2"/>
          <w:szCs w:val="2"/>
        </w:rPr>
      </w:pPr>
    </w:p>
    <w:p w:rsidR="004C1C59" w:rsidRDefault="0033765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582"/>
        </w:tabs>
        <w:spacing w:before="227" w:line="331" w:lineRule="exact"/>
        <w:ind w:left="20"/>
      </w:pPr>
      <w:bookmarkStart w:id="2" w:name="bookmark1"/>
      <w:r>
        <w:t>Показания для консультации специалистов:</w:t>
      </w:r>
      <w:bookmarkEnd w:id="2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31" w:lineRule="exact"/>
        <w:ind w:left="20" w:right="20"/>
        <w:jc w:val="both"/>
      </w:pPr>
      <w:r>
        <w:t>консультация инфекциониста - для исключения инфекционной природы заболевания;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31" w:lineRule="exact"/>
        <w:ind w:left="20" w:right="20"/>
        <w:jc w:val="both"/>
      </w:pPr>
      <w:r>
        <w:t>консультация офтальмолога - при зрительных нарушениях для верификации патологии зрительного нерва, осмотра глазного дна;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31" w:lineRule="exact"/>
        <w:ind w:left="20"/>
        <w:jc w:val="both"/>
      </w:pPr>
      <w:r>
        <w:t xml:space="preserve">консультация </w:t>
      </w:r>
      <w:r>
        <w:t>терапевта - для оценки соматического статуса;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300"/>
        <w:ind w:left="20" w:right="20"/>
        <w:jc w:val="both"/>
      </w:pPr>
      <w:r>
        <w:t>консультации других специалистов (по показаниям) при подозрении/наличии иной острой патологии.</w:t>
      </w:r>
    </w:p>
    <w:p w:rsidR="004C1C59" w:rsidRDefault="00337650">
      <w:pPr>
        <w:pStyle w:val="5"/>
        <w:numPr>
          <w:ilvl w:val="0"/>
          <w:numId w:val="7"/>
        </w:numPr>
        <w:shd w:val="clear" w:color="auto" w:fill="auto"/>
        <w:tabs>
          <w:tab w:val="left" w:pos="447"/>
        </w:tabs>
        <w:spacing w:after="341"/>
        <w:ind w:left="20" w:right="20"/>
        <w:jc w:val="both"/>
      </w:pPr>
      <w:r>
        <w:t>Профилактические мероприятия: Мерами первичной и вторичной профилактики являются: своевременное лечение преморбидно</w:t>
      </w:r>
      <w:r>
        <w:t>го фона - соматических нарушений (ОРВИ и т.д); и санация хронических очагов инфекции.</w:t>
      </w:r>
    </w:p>
    <w:p w:rsidR="004C1C59" w:rsidRDefault="0033765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47" w:line="270" w:lineRule="exact"/>
        <w:ind w:left="20"/>
      </w:pPr>
      <w:bookmarkStart w:id="3" w:name="bookmark2"/>
      <w:r>
        <w:t>Мониторинг состояния пациента:</w:t>
      </w:r>
      <w:bookmarkEnd w:id="3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270" w:lineRule="exact"/>
        <w:ind w:left="20"/>
        <w:jc w:val="both"/>
      </w:pPr>
      <w:r>
        <w:t>оценка жизнеобеспечивающих функций - дыхания, гемодинамики;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601"/>
        </w:tabs>
        <w:spacing w:after="341"/>
        <w:ind w:left="20" w:right="20"/>
        <w:jc w:val="both"/>
      </w:pPr>
      <w:r>
        <w:t xml:space="preserve">оценка неврологического статуса для выявления и мониторинга вышеописанных </w:t>
      </w:r>
      <w:r>
        <w:t>общемозгового, менингеального, общеинфекционного синдромов с записями врачом согласно правилам ведения медицинской документации данного учреждения (ПМСП, медицинские центры и т.п.).</w:t>
      </w:r>
    </w:p>
    <w:p w:rsidR="004C1C59" w:rsidRDefault="0033765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47" w:line="270" w:lineRule="exact"/>
        <w:ind w:left="20"/>
      </w:pPr>
      <w:bookmarkStart w:id="4" w:name="bookmark3"/>
      <w:r>
        <w:t>Индикатор эффективности лечения:</w:t>
      </w:r>
      <w:bookmarkEnd w:id="4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2" w:line="270" w:lineRule="exact"/>
        <w:ind w:left="20"/>
        <w:jc w:val="both"/>
      </w:pPr>
      <w:r>
        <w:t>отсутствие нарастания общемозгового синдр</w:t>
      </w:r>
      <w:r>
        <w:t>ома;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304" w:line="326" w:lineRule="exact"/>
        <w:ind w:left="20" w:right="20"/>
        <w:jc w:val="both"/>
      </w:pPr>
      <w:r>
        <w:t>стабильность показателей гемодинамики, функции дыхания (частота дыхания, АД, частота пульса).</w:t>
      </w:r>
    </w:p>
    <w:p w:rsidR="004C1C59" w:rsidRDefault="0033765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54"/>
        </w:tabs>
        <w:spacing w:before="0"/>
        <w:ind w:left="20" w:right="20"/>
      </w:pPr>
      <w:bookmarkStart w:id="5" w:name="bookmark4"/>
      <w:r>
        <w:t>ПОКАЗ</w:t>
      </w:r>
      <w:r>
        <w:rPr>
          <w:rStyle w:val="12"/>
        </w:rPr>
        <w:t>АНИЯ</w:t>
      </w:r>
      <w:r>
        <w:t xml:space="preserve"> ДЛЯ ГОСПИТАЛИЗАЦИИ С УКАЗАНИЕМ Т</w:t>
      </w:r>
      <w:r>
        <w:rPr>
          <w:rStyle w:val="12"/>
        </w:rPr>
        <w:t>ИПА</w:t>
      </w:r>
      <w:r>
        <w:t xml:space="preserve"> ГОСПИТАЛИЗАЦИИ:</w:t>
      </w:r>
      <w:bookmarkEnd w:id="5"/>
    </w:p>
    <w:p w:rsidR="004C1C59" w:rsidRDefault="00337650">
      <w:pPr>
        <w:pStyle w:val="5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326" w:lineRule="exact"/>
        <w:ind w:left="20"/>
        <w:jc w:val="both"/>
      </w:pPr>
      <w:r>
        <w:t>Показания для плановой госпитализации: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 xml:space="preserve">нарастание очаговой и общемозговой симптоматики при </w:t>
      </w:r>
      <w:r>
        <w:t>возвратном варианте течения.</w:t>
      </w:r>
    </w:p>
    <w:p w:rsidR="004C1C59" w:rsidRDefault="00337650">
      <w:pPr>
        <w:pStyle w:val="5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326" w:lineRule="exact"/>
        <w:ind w:left="20"/>
        <w:jc w:val="both"/>
      </w:pPr>
      <w:r>
        <w:t>Показания для экстренной госпитализации: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70" w:lineRule="exact"/>
        <w:ind w:left="20"/>
        <w:jc w:val="both"/>
      </w:pPr>
      <w:r>
        <w:t>подозрение на острый рассеянный энцефаломиелит;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40"/>
        <w:jc w:val="both"/>
      </w:pPr>
      <w:r>
        <w:t>нарастание общемозговой и очаговой неврологической симптоматики у пациентов.</w:t>
      </w:r>
    </w:p>
    <w:p w:rsidR="004C1C59" w:rsidRDefault="0033765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20" w:right="40"/>
      </w:pPr>
      <w:bookmarkStart w:id="6" w:name="bookmark5"/>
      <w:r>
        <w:t>Д</w:t>
      </w:r>
      <w:r>
        <w:rPr>
          <w:rStyle w:val="12"/>
        </w:rPr>
        <w:t>ИА</w:t>
      </w:r>
      <w:r>
        <w:t>ГНОСТИКА И ЛЕЧЕ</w:t>
      </w:r>
      <w:r>
        <w:rPr>
          <w:rStyle w:val="12"/>
        </w:rPr>
        <w:t>НИ</w:t>
      </w:r>
      <w:r>
        <w:t>Е НА ЭТ</w:t>
      </w:r>
      <w:r>
        <w:rPr>
          <w:rStyle w:val="12"/>
        </w:rPr>
        <w:t>АП</w:t>
      </w:r>
      <w:r>
        <w:t>Е СКОРОЙ НЕОТЛОЖНОЙ ПОМОЩИ:</w:t>
      </w:r>
      <w:bookmarkEnd w:id="6"/>
    </w:p>
    <w:p w:rsidR="004C1C59" w:rsidRDefault="00337650">
      <w:pPr>
        <w:pStyle w:val="5"/>
        <w:numPr>
          <w:ilvl w:val="0"/>
          <w:numId w:val="8"/>
        </w:numPr>
        <w:shd w:val="clear" w:color="auto" w:fill="auto"/>
        <w:tabs>
          <w:tab w:val="left" w:pos="342"/>
        </w:tabs>
        <w:spacing w:after="0"/>
        <w:ind w:left="20" w:right="40"/>
        <w:jc w:val="both"/>
      </w:pPr>
      <w:r>
        <w:t>Диаг</w:t>
      </w:r>
      <w:r>
        <w:t>ностические мероприятия: оценка данных - уровень сознания, характер и продолжительность приступа, контроль АД, частоты дыхания, пульс, температура.</w:t>
      </w:r>
    </w:p>
    <w:p w:rsidR="004C1C59" w:rsidRDefault="0033765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22"/>
        </w:tabs>
        <w:spacing w:before="0"/>
        <w:ind w:left="20"/>
      </w:pPr>
      <w:bookmarkStart w:id="7" w:name="bookmark6"/>
      <w:r>
        <w:lastRenderedPageBreak/>
        <w:t>Лечение:</w:t>
      </w:r>
      <w:bookmarkEnd w:id="7"/>
    </w:p>
    <w:p w:rsidR="004C1C59" w:rsidRDefault="00337650">
      <w:pPr>
        <w:pStyle w:val="5"/>
        <w:shd w:val="clear" w:color="auto" w:fill="auto"/>
        <w:spacing w:after="0"/>
        <w:ind w:left="20" w:right="40"/>
        <w:jc w:val="both"/>
      </w:pPr>
      <w:r>
        <w:t>Немедикаментозное лечение: уложить пациента на бок, профилактика аспирации рвотными массами, защита</w:t>
      </w:r>
      <w:r>
        <w:t xml:space="preserve"> головы от удара во время приступа, расстегнуть ворот, доступ свежего воздуха, подача кислорода.</w:t>
      </w:r>
    </w:p>
    <w:p w:rsidR="004C1C59" w:rsidRDefault="00337650">
      <w:pPr>
        <w:pStyle w:val="5"/>
        <w:shd w:val="clear" w:color="auto" w:fill="auto"/>
        <w:spacing w:after="300"/>
        <w:ind w:left="20"/>
        <w:jc w:val="both"/>
      </w:pPr>
      <w:r>
        <w:t>Медикаментозное лечение: смотрите пункт 8, подпункт 4.</w:t>
      </w:r>
    </w:p>
    <w:p w:rsidR="004C1C59" w:rsidRDefault="0033765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7"/>
        </w:tabs>
        <w:spacing w:before="0"/>
        <w:ind w:left="20"/>
      </w:pPr>
      <w:bookmarkStart w:id="8" w:name="bookmark7"/>
      <w:r>
        <w:t>Д</w:t>
      </w:r>
      <w:r>
        <w:rPr>
          <w:rStyle w:val="12"/>
        </w:rPr>
        <w:t>ИА</w:t>
      </w:r>
      <w:r>
        <w:t>ГНОСТИКА И ЛЕЧЕНИЕ НА СТАЦ</w:t>
      </w:r>
      <w:r>
        <w:rPr>
          <w:rStyle w:val="12"/>
        </w:rPr>
        <w:t>И</w:t>
      </w:r>
      <w:r>
        <w:t>ОНАРНОМ УРОВНЕ:</w:t>
      </w:r>
      <w:bookmarkEnd w:id="8"/>
    </w:p>
    <w:p w:rsidR="004C1C59" w:rsidRDefault="0033765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03"/>
        </w:tabs>
        <w:spacing w:before="0"/>
        <w:ind w:left="20"/>
      </w:pPr>
      <w:bookmarkStart w:id="9" w:name="bookmark8"/>
      <w:r>
        <w:t>Диагностические критерии на стационарном уровне:</w:t>
      </w:r>
      <w:bookmarkEnd w:id="9"/>
    </w:p>
    <w:p w:rsidR="004C1C59" w:rsidRDefault="00337650">
      <w:pPr>
        <w:pStyle w:val="5"/>
        <w:shd w:val="clear" w:color="auto" w:fill="auto"/>
        <w:spacing w:after="0"/>
        <w:ind w:left="20"/>
        <w:jc w:val="both"/>
      </w:pPr>
      <w:r>
        <w:t xml:space="preserve">Жалобы и </w:t>
      </w:r>
      <w:r>
        <w:t>анамнез: смотрите пункт 8, подпункт 1.</w:t>
      </w:r>
    </w:p>
    <w:p w:rsidR="004C1C59" w:rsidRDefault="00337650">
      <w:pPr>
        <w:pStyle w:val="5"/>
        <w:shd w:val="clear" w:color="auto" w:fill="auto"/>
        <w:spacing w:after="0"/>
        <w:ind w:left="20"/>
        <w:jc w:val="both"/>
      </w:pPr>
      <w:r>
        <w:t>Физикальное обследование: смотрите пункт 8, подпункт 1;</w:t>
      </w:r>
    </w:p>
    <w:p w:rsidR="004C1C59" w:rsidRDefault="00337650">
      <w:pPr>
        <w:pStyle w:val="5"/>
        <w:shd w:val="clear" w:color="auto" w:fill="auto"/>
        <w:spacing w:after="0"/>
        <w:ind w:left="20"/>
        <w:jc w:val="both"/>
      </w:pPr>
      <w:r>
        <w:t>Лабораторные исследования: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0"/>
        <w:ind w:left="20" w:right="40"/>
        <w:jc w:val="both"/>
      </w:pPr>
      <w:r>
        <w:t>общий анализ крови - для уточнения воспалительных изменений крови, возможны легкий/умеренный лейкоцитоз, повышение СОЭ; возможны анеми</w:t>
      </w:r>
      <w:r>
        <w:t>я, тромбоцитопения;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40"/>
        <w:jc w:val="both"/>
      </w:pPr>
      <w:r>
        <w:t>общий анализ мочи - для диагностики воспалительных изменений, возможны протеинурия, лейкоцитурия, гематурия при тяжелом течении с поражением почек;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left="20" w:right="40"/>
        <w:jc w:val="both"/>
      </w:pPr>
      <w:r>
        <w:t xml:space="preserve">общий анализ спинномозговой жидкости - для определения наличия и характера </w:t>
      </w:r>
      <w:r>
        <w:t>воспалительных изменений и их выраженности (уровень и характер цитоза, прозрачность, уровень белка), белково-клеточной диссоциации; при ЭРЭМ возможны легкий/умеренный лимфоцитарный плеоцитоз/нормальный цитоз и легкое повышение белка;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341"/>
        <w:ind w:left="20" w:right="40"/>
        <w:jc w:val="both"/>
      </w:pPr>
      <w:r>
        <w:t>биохимический анализ к</w:t>
      </w:r>
      <w:r>
        <w:t xml:space="preserve">рови - для уточнения показателей шлаков, электролитов, печеночных проб, воспалительных маркеров (определение глюкозы, мочевины, креатинина, АЛаТ, АСаТ, общего билирубина, калия, натрия, кальция, С- реактивного белка, общего белка); при ОРЭМ патологические </w:t>
      </w:r>
      <w:r>
        <w:t>сдвиги данных показателей не характерны, но позволяют уточнить и/или исключить наличие актуальной сопутствующей патологии, а также ограничения и/или противопоказаний к последующим методам патогенетической терапии ОРЭМ.</w:t>
      </w:r>
    </w:p>
    <w:p w:rsidR="004C1C59" w:rsidRDefault="00337650">
      <w:pPr>
        <w:pStyle w:val="11"/>
        <w:keepNext/>
        <w:keepLines/>
        <w:shd w:val="clear" w:color="auto" w:fill="auto"/>
        <w:spacing w:before="0" w:line="270" w:lineRule="exact"/>
        <w:ind w:left="20"/>
      </w:pPr>
      <w:bookmarkStart w:id="10" w:name="bookmark9"/>
      <w:r>
        <w:t>Инструментальные исследования:</w:t>
      </w:r>
      <w:bookmarkEnd w:id="10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40"/>
        <w:jc w:val="left"/>
      </w:pPr>
      <w:r>
        <w:t xml:space="preserve">МРТ </w:t>
      </w:r>
      <w:r>
        <w:t>головного мозга с контрастированием - для уточнения характера, локализации поражения мозгового вещества и выявления отека мозга. Для ОРЭМ типична картина - крупные очаги, чаще несимметричные, сливные, чаще локализуются в 30-40% - базальные ганглии, в 30-40</w:t>
      </w:r>
      <w:r>
        <w:t>% - таламус; в 45-55% - ствол мозга; в 30-40% - мозжечок и в 16-28% - спинной мозг, более чем в 1 сегменте;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left="20" w:right="40"/>
        <w:jc w:val="both"/>
      </w:pPr>
      <w:r>
        <w:t>Рентгенография обзорная органов грудной клетки - необходима для исключения сопутствующей патологии легких для подтверждения отсутствия противопоказа</w:t>
      </w:r>
      <w:r>
        <w:t>ний для патогенетической терапии ОРЭМ;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341"/>
        <w:ind w:left="20" w:right="20"/>
        <w:jc w:val="both"/>
      </w:pPr>
      <w:r>
        <w:t>Электрокардиографическое исследование (в 12 отведениях) - для оценки деятельности сердца для исключения сопутствующей патологии легких для подтверждения отсутствия противопоказаний для патогенетической терапии ОРЭМ;</w:t>
      </w:r>
    </w:p>
    <w:p w:rsidR="004C1C59" w:rsidRDefault="00337650">
      <w:pPr>
        <w:pStyle w:val="5"/>
        <w:numPr>
          <w:ilvl w:val="0"/>
          <w:numId w:val="9"/>
        </w:numPr>
        <w:shd w:val="clear" w:color="auto" w:fill="auto"/>
        <w:tabs>
          <w:tab w:val="left" w:pos="313"/>
        </w:tabs>
        <w:spacing w:after="285" w:line="270" w:lineRule="exact"/>
        <w:ind w:left="20"/>
        <w:jc w:val="both"/>
      </w:pPr>
      <w:r>
        <w:t>Диагностический алгоритм: смотрите пункт 9, подпункт 2.</w:t>
      </w:r>
    </w:p>
    <w:p w:rsidR="004C1C59" w:rsidRDefault="0033765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before="0" w:line="341" w:lineRule="exact"/>
        <w:ind w:left="20"/>
      </w:pPr>
      <w:bookmarkStart w:id="11" w:name="bookmark10"/>
      <w:r>
        <w:t>Перечень основных диагностических мероприятий:</w:t>
      </w:r>
      <w:bookmarkEnd w:id="11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общий анализ крови 6 параметров;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t>исследование мочи общеклиническое (общий анализ мочи);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lastRenderedPageBreak/>
        <w:t>исследование спинномозговой жидкости общеклиническое;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</w:t>
      </w:r>
      <w:r>
        <w:t xml:space="preserve"> глюкозы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 креатинина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 аланинаминотрансферазы (АЛаТ)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 общего билирубина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 аспартатаминотрансферазы (АСаТ)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41" w:lineRule="exact"/>
        <w:ind w:left="20"/>
        <w:jc w:val="both"/>
      </w:pPr>
      <w:r>
        <w:t>электрокардиографическое исследование (в 12 отведениях);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t>рентгенография обзорная органов грудной клетки (1 проекция);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/>
        <w:jc w:val="both"/>
      </w:pPr>
      <w:r>
        <w:t>магнитно-резонансная томография головного и спинного мозга без и с контрастированием;</w:t>
      </w:r>
    </w:p>
    <w:p w:rsidR="004C1C59" w:rsidRDefault="0033765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326" w:lineRule="exact"/>
        <w:ind w:left="20"/>
      </w:pPr>
      <w:bookmarkStart w:id="12" w:name="bookmark11"/>
      <w:r>
        <w:t>Перечень дополнительных диагностических мероприятий:</w:t>
      </w:r>
      <w:bookmarkEnd w:id="12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/>
        <w:jc w:val="both"/>
      </w:pPr>
      <w:r>
        <w:t>постановка реакции Вассермана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t>подсчет тромбоцитов в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t>подсчет лейкоформулы в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41" w:lineRule="exact"/>
        <w:ind w:left="20"/>
        <w:jc w:val="both"/>
      </w:pPr>
      <w:r>
        <w:t>исследование крови на ВИЧ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20"/>
        <w:jc w:val="both"/>
      </w:pPr>
      <w:r>
        <w:t xml:space="preserve">определение </w:t>
      </w:r>
      <w:r w:rsidRPr="003A378E">
        <w:t>"</w:t>
      </w:r>
      <w:r>
        <w:rPr>
          <w:lang w:val="en-US"/>
        </w:rPr>
        <w:t>C</w:t>
      </w:r>
      <w:r w:rsidRPr="003A378E">
        <w:t xml:space="preserve">" </w:t>
      </w:r>
      <w:r>
        <w:t>реактивного белка (СРБ) полуколичественно/качественно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общего белка в </w:t>
      </w:r>
      <w:r>
        <w:t>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>определение общего билирубина 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газов крови </w:t>
      </w:r>
      <w:r w:rsidRPr="003A378E">
        <w:t>(</w:t>
      </w:r>
      <w:r>
        <w:rPr>
          <w:lang w:val="en-US"/>
        </w:rPr>
        <w:t>pCO</w:t>
      </w:r>
      <w:r w:rsidRPr="003A378E">
        <w:t xml:space="preserve">2, </w:t>
      </w:r>
      <w:r>
        <w:rPr>
          <w:lang w:val="en-US"/>
        </w:rPr>
        <w:t>pO</w:t>
      </w:r>
      <w:r w:rsidRPr="003A378E">
        <w:t xml:space="preserve">2, </w:t>
      </w:r>
      <w:r>
        <w:rPr>
          <w:lang w:val="en-US"/>
        </w:rPr>
        <w:t>CO</w:t>
      </w:r>
      <w:r w:rsidRPr="003A378E">
        <w:t>2);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калия </w:t>
      </w:r>
      <w:r w:rsidRPr="003A378E">
        <w:t>(</w:t>
      </w:r>
      <w:r>
        <w:rPr>
          <w:lang w:val="en-US"/>
        </w:rPr>
        <w:t>K</w:t>
      </w:r>
      <w:r w:rsidRPr="003A378E">
        <w:t xml:space="preserve">) </w:t>
      </w:r>
      <w:r>
        <w:t>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кальция </w:t>
      </w:r>
      <w:r w:rsidRPr="003A378E">
        <w:t>(</w:t>
      </w:r>
      <w:r>
        <w:rPr>
          <w:lang w:val="en-US"/>
        </w:rPr>
        <w:t>Ca</w:t>
      </w:r>
      <w:r w:rsidRPr="003A378E">
        <w:t xml:space="preserve">) </w:t>
      </w:r>
      <w:r>
        <w:t>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натрия </w:t>
      </w:r>
      <w:r w:rsidRPr="003A378E">
        <w:t>(</w:t>
      </w:r>
      <w:r>
        <w:rPr>
          <w:lang w:val="en-US"/>
        </w:rPr>
        <w:t>Na</w:t>
      </w:r>
      <w:r w:rsidRPr="003A378E">
        <w:t xml:space="preserve">) </w:t>
      </w:r>
      <w:r>
        <w:t>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41" w:lineRule="exact"/>
        <w:ind w:left="20"/>
        <w:jc w:val="both"/>
      </w:pPr>
      <w:r>
        <w:t xml:space="preserve">определение времени </w:t>
      </w:r>
      <w:r>
        <w:t>свертывания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20"/>
        <w:jc w:val="both"/>
      </w:pPr>
      <w:r>
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(ПВ-ПТИ-МНО);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20"/>
        <w:jc w:val="both"/>
      </w:pPr>
      <w:r>
        <w:t xml:space="preserve">определение </w:t>
      </w:r>
      <w:r>
        <w:rPr>
          <w:lang w:val="en-US"/>
        </w:rPr>
        <w:t>Ig</w:t>
      </w:r>
      <w:r w:rsidRPr="003A378E">
        <w:t xml:space="preserve"> </w:t>
      </w:r>
      <w:r>
        <w:rPr>
          <w:lang w:val="en-US"/>
        </w:rPr>
        <w:t>M</w:t>
      </w:r>
      <w:r w:rsidRPr="003A378E">
        <w:t xml:space="preserve"> </w:t>
      </w:r>
      <w:r>
        <w:t>к вирусам простого герпеса 1 и 2 типа (ВПГ</w:t>
      </w:r>
      <w:r w:rsidRPr="003A378E">
        <w:t>-</w:t>
      </w:r>
      <w:r>
        <w:rPr>
          <w:lang w:val="en-US"/>
        </w:rPr>
        <w:t>I</w:t>
      </w:r>
      <w:r w:rsidRPr="003A378E">
        <w:t>,</w:t>
      </w:r>
      <w:r>
        <w:rPr>
          <w:lang w:val="en-US"/>
        </w:rPr>
        <w:t>II</w:t>
      </w:r>
      <w:r w:rsidRPr="003A378E">
        <w:t xml:space="preserve">) </w:t>
      </w:r>
      <w:r>
        <w:t>в сыворотке крови;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 xml:space="preserve">бактериологическое исследование спинномозговой жидкости на </w:t>
      </w:r>
      <w:r>
        <w:rPr>
          <w:lang w:val="en-US"/>
        </w:rPr>
        <w:t>Neisseria</w:t>
      </w:r>
      <w:r w:rsidRPr="003A378E">
        <w:t xml:space="preserve"> </w:t>
      </w:r>
      <w:r>
        <w:rPr>
          <w:lang w:val="en-US"/>
        </w:rPr>
        <w:t>meningitis</w:t>
      </w:r>
      <w:r w:rsidRPr="003A378E">
        <w:t>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  <w:sectPr w:rsidR="004C1C59">
          <w:footerReference w:type="default" r:id="rId8"/>
          <w:type w:val="continuous"/>
          <w:pgSz w:w="11909" w:h="16838"/>
          <w:pgMar w:top="956" w:right="818" w:bottom="1186" w:left="842" w:header="0" w:footer="3" w:gutter="0"/>
          <w:cols w:space="720"/>
          <w:noEndnote/>
          <w:docGrid w:linePitch="360"/>
        </w:sectPr>
      </w:pPr>
      <w:r>
        <w:t xml:space="preserve">определение </w:t>
      </w:r>
      <w:r>
        <w:rPr>
          <w:lang w:val="en-US"/>
        </w:rPr>
        <w:t>Ig</w:t>
      </w:r>
      <w:r w:rsidRPr="003A378E">
        <w:t xml:space="preserve"> </w:t>
      </w:r>
      <w:r>
        <w:rPr>
          <w:lang w:val="en-US"/>
        </w:rPr>
        <w:t>M</w:t>
      </w:r>
      <w:r w:rsidRPr="003A378E">
        <w:t xml:space="preserve"> </w:t>
      </w:r>
      <w:r>
        <w:t xml:space="preserve">к раннему </w:t>
      </w:r>
      <w:r>
        <w:t>антигену вируса Эпштейн-Барра (ВПГ</w:t>
      </w:r>
      <w:r w:rsidRPr="003A378E">
        <w:t>-</w:t>
      </w:r>
      <w:r>
        <w:rPr>
          <w:lang w:val="en-US"/>
        </w:rPr>
        <w:t>IV</w:t>
      </w:r>
      <w:r w:rsidRPr="003A378E">
        <w:t xml:space="preserve">) </w:t>
      </w:r>
      <w:r>
        <w:t>в сыворотке крови методом иммунохемилюминисценции;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1"/>
        </w:tabs>
        <w:spacing w:after="0" w:line="326" w:lineRule="exact"/>
        <w:ind w:right="20"/>
        <w:jc w:val="both"/>
      </w:pPr>
      <w:r>
        <w:lastRenderedPageBreak/>
        <w:t xml:space="preserve">определение </w:t>
      </w:r>
      <w:r>
        <w:rPr>
          <w:lang w:val="en-US"/>
        </w:rPr>
        <w:t>Ig</w:t>
      </w:r>
      <w:r w:rsidRPr="003A378E">
        <w:t xml:space="preserve"> </w:t>
      </w:r>
      <w:r>
        <w:rPr>
          <w:lang w:val="en-US"/>
        </w:rPr>
        <w:t>G</w:t>
      </w:r>
      <w:r w:rsidRPr="003A378E">
        <w:t xml:space="preserve"> </w:t>
      </w:r>
      <w:r>
        <w:t>к цитомегаловирусу (ВПГ</w:t>
      </w:r>
      <w:r w:rsidRPr="003A378E">
        <w:t>-</w:t>
      </w:r>
      <w:r>
        <w:rPr>
          <w:lang w:val="en-US"/>
        </w:rPr>
        <w:t>V</w:t>
      </w:r>
      <w:r w:rsidRPr="003A378E">
        <w:t xml:space="preserve">) </w:t>
      </w:r>
      <w:r>
        <w:t>в сыворотке крови методом иммунохемилюминисценции;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66"/>
        </w:tabs>
        <w:spacing w:after="0" w:line="326" w:lineRule="exact"/>
        <w:ind w:right="20"/>
        <w:jc w:val="both"/>
      </w:pPr>
      <w:r>
        <w:t>магниторезонансная томография головного и спинного мозга без и с контра</w:t>
      </w:r>
      <w:r>
        <w:t>стированием;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62"/>
        </w:tabs>
        <w:spacing w:after="0"/>
        <w:jc w:val="both"/>
      </w:pPr>
      <w:r>
        <w:t>электроэнцефалография;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66"/>
        </w:tabs>
        <w:spacing w:after="0"/>
        <w:jc w:val="both"/>
      </w:pPr>
      <w:r>
        <w:t>компьютерная томография головного мозга для верификации геморрагии.</w:t>
      </w:r>
    </w:p>
    <w:p w:rsidR="004C1C59" w:rsidRDefault="00337650">
      <w:pPr>
        <w:pStyle w:val="5"/>
        <w:numPr>
          <w:ilvl w:val="0"/>
          <w:numId w:val="9"/>
        </w:numPr>
        <w:shd w:val="clear" w:color="auto" w:fill="auto"/>
        <w:tabs>
          <w:tab w:val="left" w:pos="307"/>
        </w:tabs>
        <w:spacing w:after="0"/>
        <w:jc w:val="both"/>
      </w:pPr>
      <w:r>
        <w:t>Тактика лечения:</w:t>
      </w:r>
    </w:p>
    <w:p w:rsidR="004C1C59" w:rsidRDefault="00337650">
      <w:pPr>
        <w:pStyle w:val="5"/>
        <w:shd w:val="clear" w:color="auto" w:fill="auto"/>
        <w:spacing w:after="0"/>
        <w:ind w:right="20"/>
        <w:jc w:val="both"/>
      </w:pPr>
      <w:r>
        <w:t>Лечение ОРЭМ включает патогенетическую терапию, симптоматические средства, а также восстановительные мероприятия.</w:t>
      </w:r>
    </w:p>
    <w:p w:rsidR="004C1C59" w:rsidRDefault="00337650">
      <w:pPr>
        <w:pStyle w:val="5"/>
        <w:shd w:val="clear" w:color="auto" w:fill="auto"/>
        <w:spacing w:after="0"/>
        <w:jc w:val="both"/>
      </w:pPr>
      <w:r>
        <w:t xml:space="preserve">Немедикаментозное </w:t>
      </w:r>
      <w:r>
        <w:t>лечение</w:t>
      </w:r>
    </w:p>
    <w:p w:rsidR="004C1C59" w:rsidRDefault="00337650">
      <w:pPr>
        <w:pStyle w:val="5"/>
        <w:shd w:val="clear" w:color="auto" w:fill="auto"/>
        <w:spacing w:after="221"/>
        <w:ind w:right="20"/>
        <w:jc w:val="both"/>
      </w:pPr>
      <w:r>
        <w:t>режим 2-3, профилактика аспирации рвотными массами, защита головы от удара во время приступа, подача кислорода.</w:t>
      </w:r>
    </w:p>
    <w:p w:rsidR="004C1C59" w:rsidRDefault="00337650">
      <w:pPr>
        <w:pStyle w:val="5"/>
        <w:shd w:val="clear" w:color="auto" w:fill="auto"/>
        <w:spacing w:after="287" w:line="270" w:lineRule="exact"/>
        <w:jc w:val="both"/>
      </w:pPr>
      <w:r>
        <w:t>Алгоритм лечения [7,8,10]</w:t>
      </w:r>
    </w:p>
    <w:p w:rsidR="004C1C59" w:rsidRDefault="00337650">
      <w:pPr>
        <w:pStyle w:val="5"/>
        <w:shd w:val="clear" w:color="auto" w:fill="auto"/>
        <w:spacing w:after="282" w:line="270" w:lineRule="exact"/>
        <w:jc w:val="both"/>
      </w:pPr>
      <w:r>
        <w:t>Схема - 1. Алгоритм патогенетического лечения ОРЭМ</w:t>
      </w:r>
    </w:p>
    <w:p w:rsidR="004C1C59" w:rsidRDefault="003A378E">
      <w:pPr>
        <w:pStyle w:val="5"/>
        <w:shd w:val="clear" w:color="auto" w:fill="auto"/>
        <w:spacing w:after="1266" w:line="270" w:lineRule="exact"/>
        <w:ind w:left="39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1953895</wp:posOffset>
                </wp:positionV>
                <wp:extent cx="5090160" cy="1374140"/>
                <wp:effectExtent l="635" t="2540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C59" w:rsidRDefault="00337650">
                            <w:pPr>
                              <w:pStyle w:val="3"/>
                              <w:shd w:val="clear" w:color="auto" w:fill="auto"/>
                              <w:spacing w:line="510" w:lineRule="exact"/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09"/>
                              <w:gridCol w:w="331"/>
                              <w:gridCol w:w="3576"/>
                            </w:tblGrid>
                            <w:tr w:rsidR="004C1C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105pt0pt"/>
                                      <w:spacing w:val="0"/>
                                    </w:rPr>
                                    <w:t>Положительная динамика</w:t>
                                  </w:r>
                                </w:p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320" w:lineRule="exact"/>
                                    <w:jc w:val="center"/>
                                  </w:pPr>
                                  <w:r>
                                    <w:rPr>
                                      <w:rStyle w:val="Dotum16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4C1C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629" w:lineRule="exact"/>
                                    <w:jc w:val="center"/>
                                  </w:pPr>
                                  <w:r>
                                    <w:rPr>
                                      <w:rStyle w:val="105pt0pt"/>
                                      <w:spacing w:val="0"/>
                                    </w:rPr>
                                    <w:t xml:space="preserve">Отсутствие динамики </w:t>
                                  </w:r>
                                  <w:r>
                                    <w:rPr>
                                      <w:rStyle w:val="Dotum16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1C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530" w:lineRule="exact"/>
                                    <w:jc w:val="center"/>
                                  </w:pPr>
                                  <w:r>
                                    <w:rPr>
                                      <w:rStyle w:val="Batang265pt"/>
                                    </w:rPr>
                                    <w:t>I</w:t>
                                  </w:r>
                                </w:p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1"/>
                                    </w:rPr>
                                    <w:t xml:space="preserve">курс преднизолона </w:t>
                                  </w:r>
                                  <w:r>
                                    <w:rPr>
                                      <w:rStyle w:val="1"/>
                                      <w:lang w:val="en-US"/>
                                    </w:rPr>
                                    <w:t>per</w:t>
                                  </w:r>
                                  <w:r w:rsidRPr="003A378E">
                                    <w:rPr>
                                      <w:rStyle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1"/>
                                      <w:lang w:val="en-US"/>
                                    </w:rPr>
                                    <w:t>os</w:t>
                                  </w:r>
                                  <w:r w:rsidRPr="003A378E">
                                    <w:rPr>
                                      <w:rStyle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1"/>
                                    </w:rPr>
                                    <w:t>3-6 недель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4C1C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1C59" w:rsidRDefault="00337650">
                                  <w:pPr>
                                    <w:pStyle w:val="5"/>
                                    <w:shd w:val="clear" w:color="auto" w:fill="auto"/>
                                    <w:spacing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1"/>
                                    </w:rPr>
                                    <w:t>плазмаферез или ВВИГ</w:t>
                                  </w:r>
                                </w:p>
                              </w:tc>
                            </w:tr>
                          </w:tbl>
                          <w:p w:rsidR="00000000" w:rsidRDefault="0033765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45pt;margin-top:153.85pt;width:400.8pt;height:108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RBrQIAAKo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" filled="f" stroked="f">
                <v:textbox style="mso-fit-shape-to-text:t" inset="0,0,0,0">
                  <w:txbxContent>
                    <w:p w:rsidR="004C1C59" w:rsidRDefault="00337650">
                      <w:pPr>
                        <w:pStyle w:val="3"/>
                        <w:shd w:val="clear" w:color="auto" w:fill="auto"/>
                        <w:spacing w:line="510" w:lineRule="exact"/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09"/>
                        <w:gridCol w:w="331"/>
                        <w:gridCol w:w="3576"/>
                      </w:tblGrid>
                      <w:tr w:rsidR="004C1C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210" w:lineRule="exact"/>
                              <w:jc w:val="center"/>
                            </w:pPr>
                            <w:r>
                              <w:rPr>
                                <w:rStyle w:val="105pt0pt"/>
                                <w:spacing w:val="0"/>
                              </w:rPr>
                              <w:t>Положительная динамика</w:t>
                            </w:r>
                          </w:p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320" w:lineRule="exact"/>
                              <w:jc w:val="center"/>
                            </w:pPr>
                            <w:r>
                              <w:rPr>
                                <w:rStyle w:val="Dotum16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4C1C5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629" w:lineRule="exact"/>
                              <w:jc w:val="center"/>
                            </w:pPr>
                            <w:r>
                              <w:rPr>
                                <w:rStyle w:val="105pt0pt"/>
                                <w:spacing w:val="0"/>
                              </w:rPr>
                              <w:t xml:space="preserve">Отсутствие динамики </w:t>
                            </w:r>
                            <w:r>
                              <w:rPr>
                                <w:rStyle w:val="Dotum16pt"/>
                              </w:rPr>
                              <w:t>1</w:t>
                            </w:r>
                          </w:p>
                        </w:tc>
                      </w:tr>
                      <w:tr w:rsidR="004C1C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530" w:lineRule="exact"/>
                              <w:jc w:val="center"/>
                            </w:pPr>
                            <w:r>
                              <w:rPr>
                                <w:rStyle w:val="Batang265pt"/>
                              </w:rPr>
                              <w:t>I</w:t>
                            </w:r>
                          </w:p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260" w:lineRule="exact"/>
                              <w:jc w:val="center"/>
                            </w:pPr>
                            <w:r>
                              <w:rPr>
                                <w:rStyle w:val="1"/>
                              </w:rPr>
                              <w:t xml:space="preserve">курс преднизолона </w:t>
                            </w:r>
                            <w:r>
                              <w:rPr>
                                <w:rStyle w:val="1"/>
                                <w:lang w:val="en-US"/>
                              </w:rPr>
                              <w:t>per</w:t>
                            </w:r>
                            <w:r w:rsidRPr="003A378E">
                              <w:rPr>
                                <w:rStyle w:val="1"/>
                              </w:rPr>
                              <w:t xml:space="preserve"> </w:t>
                            </w:r>
                            <w:r>
                              <w:rPr>
                                <w:rStyle w:val="1"/>
                                <w:lang w:val="en-US"/>
                              </w:rPr>
                              <w:t>os</w:t>
                            </w:r>
                            <w:r w:rsidRPr="003A378E">
                              <w:rPr>
                                <w:rStyle w:val="1"/>
                              </w:rPr>
                              <w:t xml:space="preserve"> </w:t>
                            </w:r>
                            <w:r>
                              <w:rPr>
                                <w:rStyle w:val="1"/>
                              </w:rPr>
                              <w:t>3-6 недель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4C1C5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1C59" w:rsidRDefault="00337650">
                            <w:pPr>
                              <w:pStyle w:val="5"/>
                              <w:shd w:val="clear" w:color="auto" w:fill="auto"/>
                              <w:spacing w:after="0" w:line="260" w:lineRule="exact"/>
                              <w:jc w:val="center"/>
                            </w:pPr>
                            <w:r>
                              <w:rPr>
                                <w:rStyle w:val="1"/>
                              </w:rPr>
                              <w:t>плазмаферез или ВВИГ</w:t>
                            </w:r>
                          </w:p>
                        </w:tc>
                      </w:tr>
                    </w:tbl>
                    <w:p w:rsidR="00000000" w:rsidRDefault="00337650"/>
                  </w:txbxContent>
                </v:textbox>
                <w10:wrap type="square" anchorx="margin"/>
              </v:shape>
            </w:pict>
          </mc:Fallback>
        </mc:AlternateContent>
      </w:r>
      <w:r w:rsidR="00337650">
        <w:t>ОРЭМ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403"/>
        <w:gridCol w:w="379"/>
        <w:gridCol w:w="3595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949" w:h="1555" w:hSpace="610" w:wrap="notBeside" w:vAnchor="text" w:hAnchor="text" w:x="611" w:y="1"/>
              <w:shd w:val="clear" w:color="auto" w:fill="auto"/>
              <w:spacing w:after="120" w:line="270" w:lineRule="exact"/>
              <w:jc w:val="center"/>
            </w:pPr>
            <w:r>
              <w:rPr>
                <w:rStyle w:val="1"/>
              </w:rPr>
              <w:t>Симптоматическая</w:t>
            </w:r>
          </w:p>
          <w:p w:rsidR="004C1C59" w:rsidRDefault="00337650">
            <w:pPr>
              <w:pStyle w:val="5"/>
              <w:framePr w:w="7949" w:h="1555" w:hSpace="610" w:wrap="notBeside" w:vAnchor="text" w:hAnchor="text" w:x="611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1"/>
              </w:rPr>
              <w:t>терапия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949" w:h="1555" w:hSpace="610" w:wrap="notBeside" w:vAnchor="text" w:hAnchor="text" w:x="611" w:y="1"/>
              <w:rPr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949" w:h="1555" w:hSpace="610" w:wrap="notBeside" w:vAnchor="text" w:hAnchor="text" w:x="611" w:y="1"/>
              <w:shd w:val="clear" w:color="auto" w:fill="auto"/>
              <w:spacing w:after="120" w:line="270" w:lineRule="exact"/>
              <w:ind w:left="280"/>
              <w:jc w:val="left"/>
            </w:pPr>
            <w:r>
              <w:rPr>
                <w:rStyle w:val="1"/>
              </w:rPr>
              <w:t>Патогенетическая терапия</w:t>
            </w:r>
          </w:p>
          <w:p w:rsidR="004C1C59" w:rsidRDefault="00337650">
            <w:pPr>
              <w:pStyle w:val="5"/>
              <w:framePr w:w="7949" w:h="1555" w:hSpace="610" w:wrap="notBeside" w:vAnchor="text" w:hAnchor="text" w:x="611" w:y="1"/>
              <w:shd w:val="clear" w:color="auto" w:fill="auto"/>
              <w:spacing w:before="120" w:after="0" w:line="270" w:lineRule="exact"/>
              <w:ind w:left="880"/>
              <w:jc w:val="left"/>
            </w:pPr>
            <w:r>
              <w:rPr>
                <w:rStyle w:val="1"/>
              </w:rPr>
              <w:t>метилпреднизолон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4C1C59">
            <w:pPr>
              <w:framePr w:w="7949" w:h="1555" w:hSpace="610" w:wrap="notBeside" w:vAnchor="text" w:hAnchor="text" w:x="611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4C1C59">
            <w:pPr>
              <w:framePr w:w="7949" w:h="1555" w:hSpace="610" w:wrap="notBeside" w:vAnchor="text" w:hAnchor="text" w:x="611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4C1C59">
            <w:pPr>
              <w:framePr w:w="7949" w:h="1555" w:hSpace="610" w:wrap="notBeside" w:vAnchor="text" w:hAnchor="text" w:x="611" w:y="1"/>
              <w:rPr>
                <w:sz w:val="10"/>
                <w:szCs w:val="10"/>
              </w:rPr>
            </w:pPr>
          </w:p>
        </w:tc>
      </w:tr>
    </w:tbl>
    <w:p w:rsidR="004C1C59" w:rsidRDefault="00337650">
      <w:pPr>
        <w:pStyle w:val="21"/>
        <w:framePr w:w="216" w:h="590" w:hSpace="610" w:wrap="notBeside" w:vAnchor="text" w:hAnchor="text" w:x="6433" w:y="1516"/>
        <w:shd w:val="clear" w:color="auto" w:fill="auto"/>
        <w:spacing w:line="590" w:lineRule="exact"/>
      </w:pPr>
      <w:r>
        <w:t>I</w:t>
      </w:r>
    </w:p>
    <w:p w:rsidR="004C1C59" w:rsidRDefault="004C1C59">
      <w:pPr>
        <w:spacing w:line="162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74"/>
        <w:gridCol w:w="3254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168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tabs>
                <w:tab w:val="left" w:leader="hyphen" w:pos="2137"/>
                <w:tab w:val="left" w:leader="hyphen" w:pos="2247"/>
                <w:tab w:val="left" w:leader="hyphen" w:pos="2670"/>
                <w:tab w:val="left" w:leader="hyphen" w:pos="4249"/>
              </w:tabs>
              <w:spacing w:after="0" w:line="270" w:lineRule="exact"/>
              <w:ind w:left="20"/>
              <w:jc w:val="left"/>
            </w:pPr>
            <w:r>
              <w:rPr>
                <w:rStyle w:val="1"/>
              </w:rPr>
              <w:tab/>
            </w:r>
            <w:r>
              <w:rPr>
                <w:rStyle w:val="1"/>
                <w:vertAlign w:val="superscript"/>
              </w:rPr>
              <w:tab/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05pt0pt"/>
                <w:spacing w:val="0"/>
              </w:rPr>
              <w:t>Отсутствие динамики</w:t>
            </w:r>
          </w:p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before="60" w:after="0" w:line="340" w:lineRule="exact"/>
              <w:jc w:val="center"/>
            </w:pPr>
            <w:r>
              <w:rPr>
                <w:rStyle w:val="Dotum16pt"/>
              </w:rPr>
              <w:t>I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05pt0pt"/>
                <w:spacing w:val="0"/>
              </w:rPr>
              <w:t>Положительная динамика</w:t>
            </w:r>
          </w:p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before="60" w:after="0" w:line="340" w:lineRule="exact"/>
              <w:jc w:val="center"/>
            </w:pPr>
            <w:r>
              <w:rPr>
                <w:rStyle w:val="Dotum16pt"/>
              </w:rPr>
              <w:t>I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60" w:line="270" w:lineRule="exact"/>
              <w:jc w:val="center"/>
            </w:pPr>
            <w:r>
              <w:rPr>
                <w:rStyle w:val="1"/>
              </w:rPr>
              <w:t>▼</w:t>
            </w:r>
          </w:p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before="60" w:after="0" w:line="270" w:lineRule="exact"/>
              <w:jc w:val="center"/>
            </w:pPr>
            <w:r>
              <w:rPr>
                <w:rStyle w:val="1"/>
              </w:rPr>
              <w:t>присоединить цитостатик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0" w:line="500" w:lineRule="exact"/>
              <w:jc w:val="center"/>
            </w:pPr>
            <w:r>
              <w:rPr>
                <w:rStyle w:val="Batang25pt"/>
              </w:rPr>
              <w:t>I</w:t>
            </w:r>
          </w:p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повторные курсы ВВИГ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533"/>
          <w:jc w:val="right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7776" w:wrap="notBeside" w:vAnchor="text" w:hAnchor="text" w:xAlign="right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 xml:space="preserve">с </w:t>
            </w:r>
            <w:r>
              <w:rPr>
                <w:rStyle w:val="1"/>
              </w:rPr>
              <w:t>постепенной отменой преднизолона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4C1C59" w:rsidRDefault="004C1C59">
      <w:pPr>
        <w:rPr>
          <w:sz w:val="2"/>
          <w:szCs w:val="2"/>
        </w:rPr>
      </w:pPr>
    </w:p>
    <w:p w:rsidR="004C1C59" w:rsidRDefault="00337650">
      <w:pPr>
        <w:pStyle w:val="5"/>
        <w:shd w:val="clear" w:color="auto" w:fill="auto"/>
        <w:spacing w:before="331" w:after="236" w:line="270" w:lineRule="exact"/>
        <w:jc w:val="both"/>
      </w:pPr>
      <w:r>
        <w:t>Патогенетическая терапия.</w:t>
      </w:r>
    </w:p>
    <w:p w:rsidR="004C1C59" w:rsidRDefault="00337650">
      <w:pPr>
        <w:pStyle w:val="5"/>
        <w:shd w:val="clear" w:color="auto" w:fill="auto"/>
        <w:spacing w:after="0"/>
        <w:ind w:right="20"/>
        <w:jc w:val="both"/>
      </w:pPr>
      <w:r>
        <w:t xml:space="preserve">Начало патогенетической терапии основано на назначении кортикостероидов - Метилпреднизолон 10-30 мг/кг/сутки или до максимальной дозы 1 г в сутки в течение 3-5 дней [3-5]. Альтернативой </w:t>
      </w:r>
      <w:r>
        <w:t>метилпреднизолону может быть</w:t>
      </w:r>
    </w:p>
    <w:p w:rsidR="004C1C59" w:rsidRDefault="00337650">
      <w:pPr>
        <w:pStyle w:val="5"/>
        <w:shd w:val="clear" w:color="auto" w:fill="auto"/>
        <w:spacing w:after="0" w:line="270" w:lineRule="exact"/>
        <w:ind w:right="20"/>
      </w:pPr>
      <w:r>
        <w:t>12</w:t>
      </w:r>
      <w:r>
        <w:br w:type="page"/>
      </w:r>
    </w:p>
    <w:p w:rsidR="004C1C59" w:rsidRDefault="00337650">
      <w:pPr>
        <w:pStyle w:val="5"/>
        <w:shd w:val="clear" w:color="auto" w:fill="auto"/>
        <w:spacing w:after="300"/>
        <w:ind w:left="20" w:right="40"/>
        <w:jc w:val="both"/>
      </w:pPr>
      <w:r>
        <w:lastRenderedPageBreak/>
        <w:t>дексаметазон. Однако, следует учитывать тот факт, что в исследованиях применение метилпреднизолона показывало лучший результат в оценке степени инвалидизации. При положительной динамике по завершению курса инфузий метилпред</w:t>
      </w:r>
      <w:r>
        <w:t xml:space="preserve">низолона назначается преднизолон 0,5-1 мг/кг/сутки с приёмом </w:t>
      </w:r>
      <w:r>
        <w:rPr>
          <w:lang w:val="en-US"/>
        </w:rPr>
        <w:t>per</w:t>
      </w:r>
      <w:r w:rsidRPr="003A378E">
        <w:t xml:space="preserve"> </w:t>
      </w:r>
      <w:r>
        <w:rPr>
          <w:lang w:val="en-US"/>
        </w:rPr>
        <w:t>os</w:t>
      </w:r>
      <w:r w:rsidRPr="003A378E">
        <w:t xml:space="preserve"> </w:t>
      </w:r>
      <w:r>
        <w:t>через день в течение 3-6 недель.</w:t>
      </w:r>
    </w:p>
    <w:p w:rsidR="004C1C59" w:rsidRDefault="00337650">
      <w:pPr>
        <w:pStyle w:val="5"/>
        <w:shd w:val="clear" w:color="auto" w:fill="auto"/>
        <w:spacing w:after="0"/>
        <w:ind w:left="20" w:right="40"/>
        <w:jc w:val="both"/>
      </w:pPr>
      <w:r>
        <w:t>При отсутствии динамики после курса метилпреднизолона назначается курс плазмафереза или иммуноглобулины (ВВИГ).</w:t>
      </w:r>
    </w:p>
    <w:p w:rsidR="004C1C59" w:rsidRDefault="00337650">
      <w:pPr>
        <w:pStyle w:val="5"/>
        <w:shd w:val="clear" w:color="auto" w:fill="auto"/>
        <w:spacing w:after="0" w:line="317" w:lineRule="exact"/>
        <w:ind w:left="20" w:right="40"/>
        <w:jc w:val="both"/>
      </w:pPr>
      <w:r>
        <w:t xml:space="preserve">Плазмаферез - курс из 4-6 сеансов, </w:t>
      </w:r>
      <w:r>
        <w:t>выполняемых через день или ежедневно. Показания: неэффективность пульс-терапии стероидами.</w:t>
      </w:r>
    </w:p>
    <w:p w:rsidR="004C1C59" w:rsidRDefault="00337650">
      <w:pPr>
        <w:pStyle w:val="5"/>
        <w:shd w:val="clear" w:color="auto" w:fill="auto"/>
        <w:spacing w:after="300"/>
        <w:ind w:left="20" w:right="40"/>
        <w:jc w:val="both"/>
      </w:pPr>
      <w:r>
        <w:t>Внутривенный иммуноглобулин (или иммуноглобулин для внутривенного введения ВВИГ) назначается в качестве альтернативы плазмаферезу. Доза ВВИГ составляет 0,2-0,4 г/кг/</w:t>
      </w:r>
      <w:r>
        <w:t>сутки в течение 5 дней.</w:t>
      </w:r>
    </w:p>
    <w:p w:rsidR="004C1C59" w:rsidRDefault="00337650">
      <w:pPr>
        <w:pStyle w:val="5"/>
        <w:shd w:val="clear" w:color="auto" w:fill="auto"/>
        <w:spacing w:after="0"/>
        <w:ind w:left="20" w:right="40"/>
        <w:jc w:val="both"/>
      </w:pPr>
      <w:r>
        <w:t>В случаях отсутствия положительного ответа на плазмаферез и ВВИГ следующим этапом обосновано назначение иммуносупрессивной терапии митоксантроном.</w:t>
      </w:r>
    </w:p>
    <w:p w:rsidR="004C1C59" w:rsidRDefault="00337650">
      <w:pPr>
        <w:pStyle w:val="5"/>
        <w:numPr>
          <w:ilvl w:val="0"/>
          <w:numId w:val="10"/>
        </w:numPr>
        <w:shd w:val="clear" w:color="auto" w:fill="auto"/>
        <w:tabs>
          <w:tab w:val="left" w:pos="222"/>
        </w:tabs>
        <w:spacing w:after="0"/>
        <w:ind w:left="20" w:right="40"/>
        <w:jc w:val="both"/>
      </w:pPr>
      <w:r>
        <w:t>Митоксантрон 10 мг/м</w:t>
      </w:r>
      <w:r>
        <w:rPr>
          <w:vertAlign w:val="superscript"/>
        </w:rPr>
        <w:t>2</w:t>
      </w:r>
      <w:r>
        <w:t xml:space="preserve">, растворенный в 250 мл физиологического раствора в/в. Инфузии </w:t>
      </w:r>
      <w:r>
        <w:t>проводят сначала с частотой 3 раза и промежутками в 4 недели, затем проводят поддерживающее лечение в течение 3 месяцев. Максимальная общая доза</w:t>
      </w:r>
    </w:p>
    <w:p w:rsidR="004C1C59" w:rsidRDefault="00337650">
      <w:pPr>
        <w:pStyle w:val="5"/>
        <w:numPr>
          <w:ilvl w:val="0"/>
          <w:numId w:val="10"/>
        </w:numPr>
        <w:shd w:val="clear" w:color="auto" w:fill="auto"/>
        <w:tabs>
          <w:tab w:val="left" w:pos="265"/>
        </w:tabs>
        <w:spacing w:after="300"/>
        <w:ind w:left="20" w:right="40"/>
        <w:jc w:val="both"/>
      </w:pPr>
      <w:r>
        <w:t>100 мг/м</w:t>
      </w:r>
      <w:r>
        <w:rPr>
          <w:vertAlign w:val="superscript"/>
        </w:rPr>
        <w:t>2</w:t>
      </w:r>
      <w:r>
        <w:t>. Предусмотреть профилактическое применение противорвотных средств. После введения: регулярный контрол</w:t>
      </w:r>
      <w:r>
        <w:t>ь анализа крови (каждые 3-4 дня) до достижения наименьшего уровня лейкоцитов в течение 10-14 дней после введения и регистрация нового нарастания лейкоцитов перед новым введением митоксантрона.</w:t>
      </w:r>
    </w:p>
    <w:p w:rsidR="004C1C59" w:rsidRDefault="00337650">
      <w:pPr>
        <w:pStyle w:val="5"/>
        <w:shd w:val="clear" w:color="auto" w:fill="auto"/>
        <w:spacing w:after="0"/>
        <w:ind w:left="20" w:right="40"/>
        <w:jc w:val="both"/>
      </w:pPr>
      <w:r>
        <w:t xml:space="preserve">При невозможности назначения митоксантрона следует рассмотреть </w:t>
      </w:r>
      <w:r>
        <w:t>как альтернативу препараты циклофосфамид или азатиоприн.</w:t>
      </w:r>
    </w:p>
    <w:p w:rsidR="004C1C59" w:rsidRDefault="00337650">
      <w:pPr>
        <w:pStyle w:val="5"/>
        <w:numPr>
          <w:ilvl w:val="0"/>
          <w:numId w:val="10"/>
        </w:numPr>
        <w:shd w:val="clear" w:color="auto" w:fill="auto"/>
        <w:tabs>
          <w:tab w:val="left" w:pos="222"/>
        </w:tabs>
        <w:spacing w:after="0"/>
        <w:ind w:left="20" w:right="40"/>
        <w:jc w:val="both"/>
      </w:pPr>
      <w:r>
        <w:t>Циклофосфамид назначается из расчета 0,05-0,1 г/сутки (1-1,5 мг/кг/сутки), при хорошей переносимости до 3-4 мг/кг в/в капельно 1 раз в 3-4 недели. Продолжительность курса индивидуальна.</w:t>
      </w:r>
    </w:p>
    <w:p w:rsidR="004C1C59" w:rsidRDefault="00337650">
      <w:pPr>
        <w:pStyle w:val="5"/>
        <w:numPr>
          <w:ilvl w:val="0"/>
          <w:numId w:val="10"/>
        </w:numPr>
        <w:shd w:val="clear" w:color="auto" w:fill="auto"/>
        <w:tabs>
          <w:tab w:val="left" w:pos="222"/>
        </w:tabs>
        <w:spacing w:after="300"/>
        <w:ind w:left="20" w:right="40"/>
        <w:jc w:val="both"/>
      </w:pPr>
      <w:r>
        <w:t>Азатиоприн на</w:t>
      </w:r>
      <w:r>
        <w:t>значается из расчета по 1.5-2 мг/кг/сутки в 3-4 приема. В случае необходимости суточная доза может быть увеличена до 200-250 мг в 2-4 приема. Длительность курса лечения устанавливается индивидуально.</w:t>
      </w:r>
    </w:p>
    <w:p w:rsidR="004C1C59" w:rsidRDefault="00337650">
      <w:pPr>
        <w:pStyle w:val="11"/>
        <w:keepNext/>
        <w:keepLines/>
        <w:shd w:val="clear" w:color="auto" w:fill="auto"/>
        <w:spacing w:before="0"/>
        <w:ind w:left="20"/>
      </w:pPr>
      <w:bookmarkStart w:id="13" w:name="bookmark12"/>
      <w:r>
        <w:t>Симптоматическая терапия.</w:t>
      </w:r>
      <w:bookmarkEnd w:id="13"/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270"/>
        </w:tabs>
        <w:spacing w:after="0"/>
        <w:ind w:left="20" w:right="40"/>
        <w:jc w:val="both"/>
      </w:pPr>
      <w:r>
        <w:t xml:space="preserve">Противоотечная терапия </w:t>
      </w:r>
      <w:r>
        <w:t>предполагает назначение 10% раствора маннитола в дозе 1-1.5 г/кг.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322"/>
        </w:tabs>
        <w:spacing w:after="0"/>
        <w:ind w:left="20" w:right="40"/>
        <w:jc w:val="both"/>
      </w:pPr>
      <w:r>
        <w:t>НПВС при лихорадочном, цефалгическом синдромах, иных болевых синдромах, с противовоспалительной целью,: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left="20" w:right="40"/>
        <w:jc w:val="both"/>
      </w:pPr>
      <w:r>
        <w:t>кетопрофен назначается в/м или внутрь по 100 мг 1-2 раза/сут.; максимальная суточная д</w:t>
      </w:r>
      <w:r>
        <w:t>оза - 200 мг;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40"/>
        <w:jc w:val="both"/>
      </w:pPr>
      <w:r>
        <w:t>парацетамол внутрь в разовой дозе 500 мг, кратность приема - до 4 раз/сут.; максимальные дозы: разовая - 1 г, суточная - 4 г;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385"/>
        </w:tabs>
        <w:spacing w:after="0"/>
        <w:ind w:left="20" w:right="40"/>
        <w:jc w:val="both"/>
      </w:pPr>
      <w:r>
        <w:t>Метоклопрамид для противорвотного эффекта в дозе 10-20 мг 1-3 раза/сут. (максимальная суточная доза 60 мг) внутривен</w:t>
      </w:r>
      <w:r>
        <w:t>но или внутримышечно.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298"/>
        </w:tabs>
        <w:spacing w:after="2" w:line="270" w:lineRule="exact"/>
        <w:ind w:left="20"/>
        <w:jc w:val="both"/>
      </w:pPr>
      <w:r>
        <w:t>Антиконвульсантная терапия: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/>
        <w:jc w:val="both"/>
      </w:pPr>
      <w:r>
        <w:t>диазепам в дозе 5-10 мг внутривенно (в растворе глюкозы), Препарат вводят в/в (медленно) или инфузионно.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/>
        <w:jc w:val="both"/>
      </w:pPr>
      <w:r>
        <w:lastRenderedPageBreak/>
        <w:t xml:space="preserve">вальпроевая кислота в суточной дозе 5-10 мг/кг. При в/в инфузионном введении доза составляет 0.5-1 </w:t>
      </w:r>
      <w:r>
        <w:t>мг/кг/ч.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294"/>
        </w:tabs>
        <w:spacing w:after="0" w:line="326" w:lineRule="exact"/>
        <w:ind w:left="20"/>
        <w:jc w:val="both"/>
      </w:pPr>
      <w:r>
        <w:t>Терапия делириозного синдрома, психотических состояний: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20"/>
        <w:jc w:val="both"/>
      </w:pPr>
      <w:r>
        <w:t>хлопромазин - при приеме внутрь для взрослых разовая доза составляет 10-100 мг, суточная доза - 25-600 мг; при в/м или в/в введении для взрослых начальная доза</w:t>
      </w:r>
    </w:p>
    <w:p w:rsidR="004C1C59" w:rsidRDefault="00337650">
      <w:pPr>
        <w:pStyle w:val="5"/>
        <w:numPr>
          <w:ilvl w:val="0"/>
          <w:numId w:val="10"/>
        </w:numPr>
        <w:shd w:val="clear" w:color="auto" w:fill="auto"/>
        <w:tabs>
          <w:tab w:val="left" w:pos="586"/>
          <w:tab w:val="left" w:pos="255"/>
        </w:tabs>
        <w:spacing w:after="0"/>
        <w:ind w:left="20" w:right="20"/>
        <w:jc w:val="both"/>
      </w:pPr>
      <w:r>
        <w:t>25-50 мг. Максимальные суточные</w:t>
      </w:r>
      <w:r>
        <w:t xml:space="preserve"> дозы: для взрослых при приеме внутрь - 1.5 г, при в/м введении - 1 г, при в/в введении - 250 мг.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20"/>
        <w:jc w:val="both"/>
      </w:pPr>
      <w:r>
        <w:t xml:space="preserve">галоперидол - для купирования психомоторного возбуждения в первые дни назначают внутримышечно по 2-5 мг 2-3 раза в сутки, либо внутривенно в той же дозировке </w:t>
      </w:r>
      <w:r>
        <w:t>(ампулу следует развести в 10-15 мл воды для инъекций), максимальная суточная доза 60 мг. По достижении устойчивого седативного эффекта переходят на приём препарата внутрь. Для пациентов пожилого возраста 0,5-1,5 мг (0,1-0,3 мл раствора), максимальная суто</w:t>
      </w:r>
      <w:r>
        <w:t>чная доза - 5 мг (1 мл раствора).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294"/>
        </w:tabs>
        <w:spacing w:after="0"/>
        <w:ind w:left="20"/>
        <w:jc w:val="both"/>
      </w:pPr>
      <w:r>
        <w:t>Гастропротекция - омепразол 20-40 мг внутрь/внутривенно.</w:t>
      </w:r>
    </w:p>
    <w:p w:rsidR="004C1C59" w:rsidRDefault="00337650">
      <w:pPr>
        <w:pStyle w:val="5"/>
        <w:numPr>
          <w:ilvl w:val="0"/>
          <w:numId w:val="11"/>
        </w:numPr>
        <w:shd w:val="clear" w:color="auto" w:fill="auto"/>
        <w:tabs>
          <w:tab w:val="left" w:pos="294"/>
        </w:tabs>
        <w:spacing w:after="296"/>
        <w:ind w:left="20"/>
        <w:jc w:val="both"/>
      </w:pPr>
      <w:r>
        <w:t>Антибактериальная терапия при сопутствующей инфекции (уроинфекции и т.д.)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702"/>
        <w:gridCol w:w="3250"/>
        <w:gridCol w:w="1286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gridSpan w:val="2"/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1"/>
              </w:rPr>
              <w:t>Перечень основных лекарственных средств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1"/>
              </w:rPr>
              <w:t>[1,4,5,8]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Препараты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Разовая доза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 xml:space="preserve">Кратность </w:t>
            </w:r>
            <w:r>
              <w:rPr>
                <w:rStyle w:val="1"/>
              </w:rPr>
              <w:t>введения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540"/>
              <w:jc w:val="left"/>
            </w:pPr>
            <w:r>
              <w:rPr>
                <w:rStyle w:val="1"/>
              </w:rPr>
              <w:t>УД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Метилпреднизолон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10-30 мг/кг/сутки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 раз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Преднизолон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0,5-1 мг/кг/сутки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1-2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Дексаметазон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4-16 мг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1 - 4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</w:tbl>
    <w:p w:rsidR="004C1C59" w:rsidRDefault="004C1C59">
      <w:pPr>
        <w:spacing w:line="360" w:lineRule="exact"/>
      </w:pPr>
    </w:p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t>Перечень дополнительных лекарственных средств: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693"/>
        <w:gridCol w:w="3259"/>
        <w:gridCol w:w="1286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Разовая доза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right="300"/>
            </w:pPr>
            <w:r>
              <w:rPr>
                <w:rStyle w:val="1"/>
              </w:rPr>
              <w:t>Кратность введения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УД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Митоксантрон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10 мг/м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>3 раза с промежутками в 4 недели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Циклофосфамид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100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 раз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Азатиоприн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50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3-4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Маннитол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1-1,5 г/кг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 раз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В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Кетопрофен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100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1-2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Иммуноглобулин для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внутривенного</w:t>
            </w:r>
          </w:p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 xml:space="preserve">0,2-0,4 </w:t>
            </w:r>
            <w:r>
              <w:rPr>
                <w:rStyle w:val="1"/>
              </w:rPr>
              <w:t>г/кг/сутки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 раз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4C1C5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Парацетамол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0,5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1-3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Метоклопрамид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3-4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Диазепам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5-10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1-2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Вальпроевая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250-500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1-2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"/>
              </w:rPr>
              <w:t>Хлорпромазин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25 мг 1 мл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2-3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</w:tbl>
    <w:p w:rsidR="004C1C59" w:rsidRDefault="004C1C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693"/>
        <w:gridCol w:w="3259"/>
        <w:gridCol w:w="1286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Г алоперидол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5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2-3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Омепразол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20 мг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1"/>
              </w:rPr>
              <w:t>1-2 раза в сутки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</w:tbl>
    <w:p w:rsidR="004C1C59" w:rsidRDefault="00337650">
      <w:pPr>
        <w:pStyle w:val="a9"/>
        <w:framePr w:w="10219" w:wrap="notBeside" w:vAnchor="text" w:hAnchor="text" w:xAlign="center" w:y="1"/>
        <w:shd w:val="clear" w:color="auto" w:fill="auto"/>
        <w:spacing w:line="270" w:lineRule="exact"/>
      </w:pPr>
      <w:r>
        <w:t>Хирургическое вмешательство: нет.</w:t>
      </w:r>
    </w:p>
    <w:p w:rsidR="004C1C59" w:rsidRDefault="004C1C59">
      <w:pPr>
        <w:rPr>
          <w:sz w:val="2"/>
          <w:szCs w:val="2"/>
        </w:rPr>
      </w:pPr>
    </w:p>
    <w:p w:rsidR="004C1C59" w:rsidRDefault="0033765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2"/>
        </w:tabs>
        <w:spacing w:before="231" w:line="326" w:lineRule="exact"/>
        <w:ind w:left="20"/>
      </w:pPr>
      <w:bookmarkStart w:id="14" w:name="bookmark13"/>
      <w:r>
        <w:t>Показания для консультации специалистов:</w:t>
      </w:r>
      <w:bookmarkEnd w:id="14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 xml:space="preserve">консультация офтальмолога - осмотр глазного дна для верификации, определения </w:t>
      </w:r>
      <w:r>
        <w:lastRenderedPageBreak/>
        <w:t xml:space="preserve">динамики застоя дисков зрительных нервов, при </w:t>
      </w:r>
      <w:r>
        <w:t>решении вопроса о показаниях и противопоказаниях к люмбальной пункции и коррекции дегидратационной терапии;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/>
        <w:jc w:val="both"/>
      </w:pPr>
      <w:r>
        <w:t xml:space="preserve">консультация нейрохирурга при необходимости - при дифференциальной диагностике с объемными процессами головного мозга (внутримозговая гематома, </w:t>
      </w:r>
      <w:r>
        <w:t>кровоизлияние в опухоль головного мозга, абсцесс);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26" w:lineRule="exact"/>
        <w:ind w:left="20" w:right="20"/>
        <w:jc w:val="both"/>
      </w:pPr>
      <w:r>
        <w:t>консультация инфекциониста при необходимости (в случае отсутствия специалиста на догоспитальном уровне) - установление или исключение острого инфекционного заболевания, а также в случае подтверждения инфек</w:t>
      </w:r>
      <w:r>
        <w:t>ционного агента для коррекции этиологической терапии;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26" w:lineRule="exact"/>
        <w:ind w:left="20" w:right="20"/>
        <w:jc w:val="both"/>
      </w:pPr>
      <w:r>
        <w:t>консультация терапевта при необходимости (в случае отсутствия специалиста на догоспитальном уровне) - установление или исключение терапевтического заболевания (сепсис, артериальная гипертензия, токсичес</w:t>
      </w:r>
      <w:r>
        <w:t>кое поражение внутренних органов), коррекция показателей гемодинамики, электролитного баланса в ходе проводимой терапии;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after="281" w:line="317" w:lineRule="exact"/>
        <w:ind w:left="20" w:right="20"/>
        <w:jc w:val="both"/>
      </w:pPr>
      <w:r>
        <w:t>консультация анестезиолога-реаниматолога - для решения вопроса о переводе в отделение реанимации и интенсивной терапии.</w:t>
      </w:r>
    </w:p>
    <w:p w:rsidR="004C1C59" w:rsidRDefault="0033765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2"/>
        </w:tabs>
        <w:spacing w:before="0" w:line="341" w:lineRule="exact"/>
        <w:ind w:left="20"/>
      </w:pPr>
      <w:bookmarkStart w:id="15" w:name="bookmark14"/>
      <w:r>
        <w:t>Показания для п</w:t>
      </w:r>
      <w:r>
        <w:t>еревода в отделение интенсивной терапии и реанимации:</w:t>
      </w:r>
      <w:bookmarkEnd w:id="15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появление и нарастание симптомов отека головного мозга;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нарушение сознания;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341" w:lineRule="exact"/>
        <w:ind w:left="20"/>
        <w:jc w:val="both"/>
      </w:pPr>
      <w:r>
        <w:t>тяжелая и крайне тяжелая степень неврологических расстройств;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нестабильность гемодинамики;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300" w:line="341" w:lineRule="exact"/>
        <w:ind w:left="20"/>
        <w:jc w:val="both"/>
      </w:pPr>
      <w:r>
        <w:t>нарушение функции дыхания.</w:t>
      </w:r>
    </w:p>
    <w:p w:rsidR="004C1C59" w:rsidRDefault="0033765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2"/>
        </w:tabs>
        <w:spacing w:before="0" w:line="341" w:lineRule="exact"/>
        <w:ind w:left="20"/>
      </w:pPr>
      <w:bookmarkStart w:id="16" w:name="bookmark15"/>
      <w:r>
        <w:t>Индикаторы эффективности лечения.</w:t>
      </w:r>
      <w:bookmarkEnd w:id="16"/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41" w:lineRule="exact"/>
        <w:ind w:left="20"/>
        <w:jc w:val="both"/>
      </w:pPr>
      <w:r>
        <w:t>купирование общемозгового синдрома;</w:t>
      </w:r>
    </w:p>
    <w:p w:rsidR="004C1C59" w:rsidRDefault="00337650">
      <w:pPr>
        <w:pStyle w:val="5"/>
        <w:numPr>
          <w:ilvl w:val="0"/>
          <w:numId w:val="3"/>
        </w:numPr>
        <w:shd w:val="clear" w:color="auto" w:fill="auto"/>
        <w:tabs>
          <w:tab w:val="left" w:pos="572"/>
        </w:tabs>
        <w:spacing w:after="319" w:line="341" w:lineRule="exact"/>
        <w:ind w:left="20"/>
        <w:jc w:val="both"/>
      </w:pPr>
      <w:r>
        <w:t>уменьшение/стабилизация/регресс очаговой неврологической симптоматики.</w:t>
      </w:r>
    </w:p>
    <w:p w:rsidR="004C1C59" w:rsidRDefault="00337650">
      <w:pPr>
        <w:pStyle w:val="5"/>
        <w:numPr>
          <w:ilvl w:val="0"/>
          <w:numId w:val="7"/>
        </w:numPr>
        <w:shd w:val="clear" w:color="auto" w:fill="auto"/>
        <w:tabs>
          <w:tab w:val="left" w:pos="562"/>
        </w:tabs>
        <w:spacing w:after="296" w:line="317" w:lineRule="exact"/>
        <w:ind w:left="20" w:right="20"/>
        <w:jc w:val="both"/>
      </w:pPr>
      <w:r>
        <w:t>Дальнейшее ведение: Диспансерное наблюдение в поликлинике по месту жительства в течение 5 лет.</w:t>
      </w:r>
    </w:p>
    <w:p w:rsidR="004C1C59" w:rsidRDefault="00337650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ind w:left="20" w:right="20"/>
        <w:jc w:val="both"/>
      </w:pPr>
      <w:r>
        <w:t xml:space="preserve">Медицинская </w:t>
      </w:r>
      <w:r>
        <w:t>реабилитация: проводится согласно Стандарту организации оказания медицинской реабилитации населению Республики Казахстан, утвержденной приказом Министра здравоохранения Республики Казахстан от 27.12.2013 года №759.</w:t>
      </w:r>
    </w:p>
    <w:p w:rsidR="004C1C59" w:rsidRDefault="0033765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306" w:line="270" w:lineRule="exact"/>
        <w:ind w:left="20"/>
      </w:pPr>
      <w:bookmarkStart w:id="17" w:name="bookmark16"/>
      <w:r>
        <w:lastRenderedPageBreak/>
        <w:t>Паллиативная помощь: нет.</w:t>
      </w:r>
      <w:bookmarkEnd w:id="17"/>
    </w:p>
    <w:p w:rsidR="004C1C59" w:rsidRDefault="00337650">
      <w:pPr>
        <w:pStyle w:val="a9"/>
        <w:framePr w:w="10234" w:wrap="notBeside" w:vAnchor="text" w:hAnchor="text" w:xAlign="center" w:y="1"/>
        <w:shd w:val="clear" w:color="auto" w:fill="auto"/>
        <w:spacing w:line="270" w:lineRule="exact"/>
      </w:pPr>
      <w:r>
        <w:rPr>
          <w:rStyle w:val="aa"/>
        </w:rPr>
        <w:t>15. Сокращения,</w:t>
      </w:r>
      <w:r>
        <w:rPr>
          <w:rStyle w:val="aa"/>
        </w:rPr>
        <w:t xml:space="preserve"> используемые в протоколе: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66"/>
        <w:gridCol w:w="8654"/>
      </w:tblGrid>
      <w:tr w:rsidR="004C1C5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компьютерная томография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ОРЭМ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острый рассеянный энцефаломиелит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магнитно-резонансная томография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ПЦР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полимеразная цепная реакция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СМЖ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спинномозговая жидкость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СОЭ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скорость оседания эритроцитов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ЧСС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 xml:space="preserve">число </w:t>
            </w:r>
            <w:r>
              <w:rPr>
                <w:rStyle w:val="1"/>
              </w:rPr>
              <w:t>сердечных сокращений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ЭЭГ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электроэнцефалография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УД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уровень доказательности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НПВС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нестероидные противовоспалительные средства</w:t>
            </w:r>
          </w:p>
        </w:tc>
      </w:tr>
      <w:tr w:rsidR="004C1C5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ВВИГ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  <w:lang w:val="en-US"/>
              </w:rPr>
              <w:t>-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9" w:rsidRDefault="00337650">
            <w:pPr>
              <w:pStyle w:val="5"/>
              <w:framePr w:w="1023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"/>
              </w:rPr>
              <w:t>внутривенный иммуноглобулин</w:t>
            </w:r>
          </w:p>
        </w:tc>
      </w:tr>
    </w:tbl>
    <w:p w:rsidR="004C1C59" w:rsidRDefault="004C1C59">
      <w:pPr>
        <w:rPr>
          <w:sz w:val="2"/>
          <w:szCs w:val="2"/>
        </w:rPr>
      </w:pPr>
    </w:p>
    <w:p w:rsidR="004C1C59" w:rsidRDefault="00337650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28"/>
        </w:tabs>
        <w:spacing w:before="295"/>
        <w:ind w:left="20"/>
      </w:pPr>
      <w:bookmarkStart w:id="18" w:name="bookmark17"/>
      <w:r>
        <w:t>Список разработчиков протокола с указанием квалификационных данных:</w:t>
      </w:r>
      <w:bookmarkEnd w:id="18"/>
    </w:p>
    <w:p w:rsidR="004C1C59" w:rsidRDefault="00337650">
      <w:pPr>
        <w:pStyle w:val="5"/>
        <w:numPr>
          <w:ilvl w:val="0"/>
          <w:numId w:val="13"/>
        </w:numPr>
        <w:shd w:val="clear" w:color="auto" w:fill="auto"/>
        <w:tabs>
          <w:tab w:val="left" w:pos="442"/>
        </w:tabs>
        <w:spacing w:after="0"/>
        <w:ind w:left="20" w:right="40"/>
        <w:jc w:val="both"/>
      </w:pPr>
      <w:r>
        <w:t>Джумахаева А. С. -</w:t>
      </w:r>
      <w:r>
        <w:t xml:space="preserve"> кандидат медицинских наук, заведующая неврологическим отделением ГБ № 2 г. Астаны, врач невропатолог высшей категории, член ОЮЛ «Ассоциации неврологов РК»;</w:t>
      </w:r>
    </w:p>
    <w:p w:rsidR="004C1C59" w:rsidRDefault="00337650">
      <w:pPr>
        <w:pStyle w:val="5"/>
        <w:numPr>
          <w:ilvl w:val="0"/>
          <w:numId w:val="13"/>
        </w:numPr>
        <w:shd w:val="clear" w:color="auto" w:fill="auto"/>
        <w:tabs>
          <w:tab w:val="left" w:pos="442"/>
        </w:tabs>
        <w:spacing w:after="0"/>
        <w:ind w:left="20" w:right="40"/>
        <w:jc w:val="both"/>
      </w:pPr>
      <w:r>
        <w:t>Альмаханова К. К. - ассистент кафедры невропатологии с курсом психиатрии и наркологии АО «Медицинск</w:t>
      </w:r>
      <w:r>
        <w:t>ий университет Астана», член ОЮЛ «Ассоциация неврологов РК»;</w:t>
      </w:r>
    </w:p>
    <w:p w:rsidR="004C1C59" w:rsidRDefault="00337650">
      <w:pPr>
        <w:pStyle w:val="5"/>
        <w:numPr>
          <w:ilvl w:val="0"/>
          <w:numId w:val="13"/>
        </w:numPr>
        <w:shd w:val="clear" w:color="auto" w:fill="auto"/>
        <w:tabs>
          <w:tab w:val="left" w:pos="442"/>
        </w:tabs>
        <w:spacing w:after="0"/>
        <w:ind w:left="20" w:right="40"/>
        <w:jc w:val="both"/>
      </w:pPr>
      <w:r>
        <w:t>Жусупова А. С. - доктор медицинских наук, профессор, врач невропатолог высшей категории, АО «Медицинский университет Астана» заведующая кафедрой невропатологии с курсом психиатрии и наркологии, г</w:t>
      </w:r>
      <w:r>
        <w:t>лавный внештатный невропатолог МЗСР РК, председатель ОЮЛ «Ассоциации неврологов РК»;</w:t>
      </w:r>
    </w:p>
    <w:p w:rsidR="004C1C59" w:rsidRDefault="00337650">
      <w:pPr>
        <w:pStyle w:val="5"/>
        <w:numPr>
          <w:ilvl w:val="0"/>
          <w:numId w:val="13"/>
        </w:numPr>
        <w:shd w:val="clear" w:color="auto" w:fill="auto"/>
        <w:tabs>
          <w:tab w:val="left" w:pos="452"/>
        </w:tabs>
        <w:spacing w:after="341"/>
        <w:ind w:left="20" w:right="40"/>
        <w:jc w:val="both"/>
      </w:pPr>
      <w:r>
        <w:t>Тулеутаева Р. Е. - кандидат медицинских наук, заведующая кафедрой фармакологии и доказательной медицины Государственного медицинского университета г. Семей, член «Ассоциац</w:t>
      </w:r>
      <w:r>
        <w:t>ии врачей терапевтического профиля».</w:t>
      </w:r>
    </w:p>
    <w:p w:rsidR="004C1C59" w:rsidRDefault="00337650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23"/>
        </w:tabs>
        <w:spacing w:before="0" w:after="237" w:line="270" w:lineRule="exact"/>
        <w:ind w:left="20"/>
      </w:pPr>
      <w:bookmarkStart w:id="19" w:name="bookmark18"/>
      <w:r>
        <w:t>Указание на отсутствие конфликта интересов: нет.</w:t>
      </w:r>
      <w:bookmarkEnd w:id="19"/>
    </w:p>
    <w:p w:rsidR="004C1C59" w:rsidRDefault="00337650">
      <w:pPr>
        <w:pStyle w:val="5"/>
        <w:numPr>
          <w:ilvl w:val="0"/>
          <w:numId w:val="12"/>
        </w:numPr>
        <w:shd w:val="clear" w:color="auto" w:fill="auto"/>
        <w:tabs>
          <w:tab w:val="left" w:pos="524"/>
        </w:tabs>
        <w:spacing w:after="304" w:line="326" w:lineRule="exact"/>
        <w:ind w:left="20" w:right="40"/>
        <w:jc w:val="both"/>
      </w:pPr>
      <w:r>
        <w:t>Список рецензентов: Нургужаев Еркын Смагулович - доктор медицинских наук, профессор, заведующий кафедрой нервных болезней РГП на ПХВ «КазНМУ».</w:t>
      </w:r>
    </w:p>
    <w:p w:rsidR="004C1C59" w:rsidRDefault="00337650">
      <w:pPr>
        <w:pStyle w:val="5"/>
        <w:numPr>
          <w:ilvl w:val="0"/>
          <w:numId w:val="12"/>
        </w:numPr>
        <w:shd w:val="clear" w:color="auto" w:fill="auto"/>
        <w:tabs>
          <w:tab w:val="left" w:pos="471"/>
        </w:tabs>
        <w:spacing w:after="300"/>
        <w:ind w:left="20" w:right="40"/>
        <w:jc w:val="both"/>
      </w:pPr>
      <w:r>
        <w:t>Указание условий пересмотра</w:t>
      </w:r>
      <w:r>
        <w:t xml:space="preserve"> протокола: Пересмотр протокола через 3 года после его опубликования и с даты его вступления в действие или при наличии новых методов с уровнем доказательности.</w:t>
      </w:r>
    </w:p>
    <w:p w:rsidR="004C1C59" w:rsidRDefault="00337650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47"/>
        </w:tabs>
        <w:spacing w:before="0"/>
        <w:ind w:left="20"/>
      </w:pPr>
      <w:bookmarkStart w:id="20" w:name="bookmark19"/>
      <w:r>
        <w:t>Список использованной литературы:</w:t>
      </w:r>
      <w:bookmarkEnd w:id="20"/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26"/>
        </w:tabs>
        <w:spacing w:after="0"/>
        <w:ind w:left="20" w:right="40"/>
        <w:jc w:val="both"/>
      </w:pPr>
      <w:r>
        <w:rPr>
          <w:lang w:val="en-US"/>
        </w:rPr>
        <w:t>Tenembaum S, Chitnis T, Ness J, Hahn JS; International Pediat</w:t>
      </w:r>
      <w:r>
        <w:rPr>
          <w:lang w:val="en-US"/>
        </w:rPr>
        <w:t>ric MS Study Group. Acute Disseminated Encephalomyelitis. Neurology 2007; 68: S23-36.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40"/>
        </w:tabs>
        <w:spacing w:after="0"/>
        <w:ind w:left="20" w:right="20"/>
        <w:jc w:val="both"/>
      </w:pPr>
      <w:r>
        <w:t xml:space="preserve">Справочник по формулированию клинического диагноза болезней нервной системы / Под ред. В.Н. Штока, О.С. Левина. - М.: ООО «Медицинское информационное агентство», 2006. - </w:t>
      </w:r>
      <w:r>
        <w:t>520 с.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26"/>
        </w:tabs>
        <w:spacing w:after="0"/>
        <w:ind w:left="20" w:right="20"/>
        <w:jc w:val="both"/>
      </w:pPr>
      <w:r>
        <w:rPr>
          <w:lang w:val="en-US"/>
        </w:rPr>
        <w:t xml:space="preserve">Hynson J., Kornberg A., Coleman L., Shield L., Harvey A., Kean M. Clinical and </w:t>
      </w:r>
      <w:r>
        <w:rPr>
          <w:lang w:val="en-US"/>
        </w:rPr>
        <w:lastRenderedPageBreak/>
        <w:t>neuroradiologic features of acute disseminated encephalomyelitis in children. Neurology. 2001; 56:1308-12.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93"/>
        </w:tabs>
        <w:spacing w:after="0"/>
        <w:ind w:left="20" w:right="20"/>
        <w:jc w:val="both"/>
      </w:pPr>
      <w:r>
        <w:rPr>
          <w:lang w:val="en-US"/>
        </w:rPr>
        <w:t xml:space="preserve">Dale R., de Sousa C., Chong W., Cox T., Harding B., Neville B. </w:t>
      </w:r>
      <w:r>
        <w:rPr>
          <w:lang w:val="en-US"/>
        </w:rPr>
        <w:t>Acute disseminated encephalomyelitis, multiphasic disseminated encephalomyelitis and multiple sclerosis in children. Brain. 2000;123:2407-22.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45"/>
        </w:tabs>
        <w:spacing w:after="0"/>
        <w:ind w:left="20" w:right="20"/>
        <w:jc w:val="both"/>
      </w:pPr>
      <w:r>
        <w:rPr>
          <w:lang w:val="en-US"/>
        </w:rPr>
        <w:t>Straub J., Chofflon M., Delavelle J. Early high-dose intravenous methylprednisolone in acute disseminated encephal</w:t>
      </w:r>
      <w:r>
        <w:rPr>
          <w:lang w:val="en-US"/>
        </w:rPr>
        <w:t>omyelitis: A successful recovery. Neurology. 1997;49:1145-7.</w:t>
      </w:r>
    </w:p>
    <w:p w:rsidR="004C1C59" w:rsidRPr="003A378E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40"/>
        </w:tabs>
        <w:spacing w:after="0"/>
        <w:ind w:left="20" w:right="20"/>
        <w:jc w:val="both"/>
        <w:rPr>
          <w:lang w:val="en-US"/>
        </w:rPr>
      </w:pPr>
      <w:r>
        <w:rPr>
          <w:lang w:val="en-US"/>
        </w:rPr>
        <w:t>Sakakibara R., Hattori T., Yasuda K., Yamanishi T. Micturitional disturbance in acute disseminated encephalomyelitis (ADEM) J Auton Nerv Syst. 1996;60:200-5.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21"/>
        </w:tabs>
        <w:spacing w:after="0"/>
        <w:ind w:left="20" w:right="20"/>
        <w:jc w:val="both"/>
      </w:pPr>
      <w:hyperlink r:id="rId9" w:history="1">
        <w:r>
          <w:rPr>
            <w:rStyle w:val="a3"/>
            <w:lang w:val="en-US"/>
          </w:rPr>
          <w:t xml:space="preserve">Alexander </w:t>
        </w:r>
      </w:hyperlink>
      <w:r>
        <w:rPr>
          <w:lang w:val="en-US"/>
        </w:rPr>
        <w:t>M. and</w:t>
      </w:r>
      <w:hyperlink r:id="rId10" w:history="1">
        <w:r>
          <w:rPr>
            <w:rStyle w:val="a3"/>
            <w:lang w:val="en-US"/>
          </w:rPr>
          <w:t xml:space="preserve"> Murthy </w:t>
        </w:r>
      </w:hyperlink>
      <w:r>
        <w:rPr>
          <w:lang w:val="en-US"/>
        </w:rPr>
        <w:t xml:space="preserve">J. Acute disseminated encephalomyelitis: </w:t>
      </w:r>
      <w:r>
        <w:rPr>
          <w:lang w:val="en-US"/>
        </w:rPr>
        <w:t>Treatment guidelines/</w:t>
      </w:r>
      <w:hyperlink r:id="rId11" w:history="1">
        <w:r>
          <w:rPr>
            <w:rStyle w:val="a3"/>
            <w:lang w:val="en-US"/>
          </w:rPr>
          <w:t xml:space="preserve"> Ann Indian Acad Neurol.</w:t>
        </w:r>
      </w:hyperlink>
      <w:r>
        <w:rPr>
          <w:lang w:val="en-US"/>
        </w:rPr>
        <w:t xml:space="preserve"> 2011 Jul; 14(Suppl1): S60-S64.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26"/>
        </w:tabs>
        <w:spacing w:after="0"/>
        <w:ind w:left="20" w:right="20"/>
        <w:jc w:val="both"/>
      </w:pPr>
      <w:r>
        <w:t>Бембеева Р.Ц. Острый диссеминированный энцефаломиелит/ Журн. Лечащий врач 2008 №1 .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30"/>
        </w:tabs>
        <w:spacing w:after="0"/>
        <w:ind w:left="20" w:right="20"/>
        <w:jc w:val="both"/>
      </w:pPr>
      <w:r>
        <w:t xml:space="preserve">Болезни нервной системы под </w:t>
      </w:r>
      <w:r>
        <w:t>редакцией Яхно Н.Н., Штульман Д.Р. Москва: Медицина, 2001. С. 386</w:t>
      </w:r>
    </w:p>
    <w:p w:rsidR="004C1C59" w:rsidRDefault="00337650">
      <w:pPr>
        <w:pStyle w:val="5"/>
        <w:numPr>
          <w:ilvl w:val="0"/>
          <w:numId w:val="14"/>
        </w:numPr>
        <w:shd w:val="clear" w:color="auto" w:fill="auto"/>
        <w:tabs>
          <w:tab w:val="left" w:pos="740"/>
        </w:tabs>
        <w:spacing w:after="0"/>
        <w:ind w:left="20" w:right="20"/>
        <w:jc w:val="both"/>
      </w:pPr>
      <w:r>
        <w:rPr>
          <w:rStyle w:val="4"/>
        </w:rPr>
        <w:t>Til Menge, Bernhard Hemmer, Stefan Nessler, Heinz Wiendl, Oliver Neuhaus, Hans-Peter Hartung, Bemd C. Kieseier, Olaf Stuve. Neurological Review. Arch Neurol. 2005; 62(11):1673-1680.</w:t>
      </w:r>
    </w:p>
    <w:sectPr w:rsidR="004C1C59">
      <w:footerReference w:type="default" r:id="rId12"/>
      <w:pgSz w:w="11909" w:h="16838"/>
      <w:pgMar w:top="956" w:right="818" w:bottom="1186" w:left="8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50" w:rsidRDefault="00337650">
      <w:r>
        <w:separator/>
      </w:r>
    </w:p>
  </w:endnote>
  <w:endnote w:type="continuationSeparator" w:id="0">
    <w:p w:rsidR="00337650" w:rsidRDefault="0033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59" w:rsidRDefault="003A37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9968230</wp:posOffset>
              </wp:positionV>
              <wp:extent cx="70485" cy="160655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C59" w:rsidRDefault="0033765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378E" w:rsidRPr="003A378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5pt;margin-top:784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EkonjnfAAAADwEAAA8AAAAAAAAA&#10;AAAAAAAAAQUAAGRycy9kb3ducmV2LnhtbFBLBQYAAAAABAAEAPMAAAANBgAAAAA=&#10;" filled="f" stroked="f">
              <v:textbox style="mso-fit-shape-to-text:t" inset="0,0,0,0">
                <w:txbxContent>
                  <w:p w:rsidR="004C1C59" w:rsidRDefault="0033765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378E" w:rsidRPr="003A378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59" w:rsidRDefault="003A37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9968230</wp:posOffset>
              </wp:positionV>
              <wp:extent cx="140335" cy="16065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C59" w:rsidRDefault="0033765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378E" w:rsidRPr="003A378E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2.5pt;margin-top:784.9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" filled="f" stroked="f">
              <v:textbox style="mso-fit-shape-to-text:t" inset="0,0,0,0">
                <w:txbxContent>
                  <w:p w:rsidR="004C1C59" w:rsidRDefault="0033765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378E" w:rsidRPr="003A378E"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50" w:rsidRDefault="00337650"/>
  </w:footnote>
  <w:footnote w:type="continuationSeparator" w:id="0">
    <w:p w:rsidR="00337650" w:rsidRDefault="003376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A1"/>
    <w:multiLevelType w:val="multilevel"/>
    <w:tmpl w:val="899A5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103E9"/>
    <w:multiLevelType w:val="multilevel"/>
    <w:tmpl w:val="3BFEF43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36823"/>
    <w:multiLevelType w:val="multilevel"/>
    <w:tmpl w:val="C1A2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E5690"/>
    <w:multiLevelType w:val="multilevel"/>
    <w:tmpl w:val="4E36B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56F64"/>
    <w:multiLevelType w:val="multilevel"/>
    <w:tmpl w:val="5532AEF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610C1"/>
    <w:multiLevelType w:val="multilevel"/>
    <w:tmpl w:val="02723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D69C2"/>
    <w:multiLevelType w:val="multilevel"/>
    <w:tmpl w:val="2BA81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D1BFB"/>
    <w:multiLevelType w:val="multilevel"/>
    <w:tmpl w:val="2B105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F3D51"/>
    <w:multiLevelType w:val="multilevel"/>
    <w:tmpl w:val="30626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0BC"/>
    <w:multiLevelType w:val="multilevel"/>
    <w:tmpl w:val="4536B43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01A10"/>
    <w:multiLevelType w:val="multilevel"/>
    <w:tmpl w:val="0E64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46B26"/>
    <w:multiLevelType w:val="multilevel"/>
    <w:tmpl w:val="AE3CC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E3D21"/>
    <w:multiLevelType w:val="multilevel"/>
    <w:tmpl w:val="C390FC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262D"/>
    <w:multiLevelType w:val="multilevel"/>
    <w:tmpl w:val="79A05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59"/>
    <w:rsid w:val="00337650"/>
    <w:rsid w:val="003A378E"/>
    <w:rsid w:val="004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2A7F4-C9E5-41CB-80D9-225D20A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Подпись к таблице (3) Exact"/>
    <w:basedOn w:val="a0"/>
    <w:link w:val="3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Dotum16pt">
    <w:name w:val="Основной текст + Dotum;16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atang265pt">
    <w:name w:val="Основной текст + Batang;26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Подпись к таблице (2)_"/>
    <w:basedOn w:val="a0"/>
    <w:link w:val="21"/>
    <w:rPr>
      <w:rFonts w:ascii="Gungsuh" w:eastAsia="Gungsuh" w:hAnsi="Gungsuh" w:cs="Gungsuh"/>
      <w:b w:val="0"/>
      <w:bCs w:val="0"/>
      <w:i/>
      <w:iCs/>
      <w:smallCaps w:val="0"/>
      <w:strike w:val="0"/>
      <w:sz w:val="59"/>
      <w:szCs w:val="59"/>
      <w:u w:val="none"/>
    </w:rPr>
  </w:style>
  <w:style w:type="character" w:customStyle="1" w:styleId="Batang25pt">
    <w:name w:val="Основной текст + Batang;2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Gungsuh" w:eastAsia="Gungsuh" w:hAnsi="Gungsuh" w:cs="Gungsuh"/>
      <w:sz w:val="51"/>
      <w:szCs w:val="5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z w:val="59"/>
      <w:szCs w:val="59"/>
    </w:rPr>
  </w:style>
  <w:style w:type="paragraph" w:styleId="ad">
    <w:name w:val="Normal (Web)"/>
    <w:basedOn w:val="a"/>
    <w:uiPriority w:val="99"/>
    <w:semiHidden/>
    <w:unhideWhenUsed/>
    <w:rsid w:val="003A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A378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mc/articles/PMC315215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?term=Murthy%20JM%5BAuthor%5D&amp;cauthor=true&amp;cauthor_uid=21847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Alexander%20M%5BAuthor%5D&amp;cauthor=true&amp;cauthor_uid=218473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 Пост3</dc:creator>
  <cp:keywords/>
  <cp:lastModifiedBy>Невр Пост3</cp:lastModifiedBy>
  <cp:revision>1</cp:revision>
  <dcterms:created xsi:type="dcterms:W3CDTF">2020-03-01T07:05:00Z</dcterms:created>
  <dcterms:modified xsi:type="dcterms:W3CDTF">2020-03-01T07:07:00Z</dcterms:modified>
</cp:coreProperties>
</file>