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1 (</w:t>
      </w:r>
      <w:r w:rsidRPr="001A23DF">
        <w:rPr>
          <w:rFonts w:ascii="Times New Roman" w:hAnsi="Times New Roman" w:cs="Times New Roman"/>
          <w:b/>
          <w:sz w:val="28"/>
          <w:szCs w:val="28"/>
        </w:rPr>
        <w:t>23.03.2019</w:t>
      </w:r>
      <w:r w:rsidRPr="001A23DF">
        <w:rPr>
          <w:rFonts w:ascii="Times New Roman" w:hAnsi="Times New Roman" w:cs="Times New Roman"/>
          <w:b/>
          <w:sz w:val="28"/>
          <w:szCs w:val="28"/>
        </w:rPr>
        <w:t>)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Ознакомление с правилами работы в КДЛ. Перед началом работы в лаборатории необходимо ознакомиться с правилами техники безопасности. Каждый работающий в лаборатории обязан содержать свое рабочее место в чистоте и порядке.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Pr="001A23DF">
        <w:rPr>
          <w:rFonts w:ascii="Times New Roman" w:hAnsi="Times New Roman" w:cs="Times New Roman"/>
          <w:sz w:val="28"/>
          <w:szCs w:val="28"/>
        </w:rPr>
        <w:t xml:space="preserve">Приступая к работе, необходимо ознакомиться с устройством приборов и аппаратов, их принципом действия. Прежде чем приступить к лабораторной работе по данной теме, тщательно изучите ее описание; подготовьте необходимые приборы и реактивы. Внимательно наблюдайте за ходом опыта, отмечая каждую его особенность (выпадение и растворение осадков, изменение окраски, температуры и т.д.). В ходе эксперимента аккуратно ведите записи в рабочем журнале. Категорически запрещается использовать посуду, имеющую трещины или отбитые края. Все флаконы с реактивами в лаборатории должны иметь соответствующие этикетки. После использования раствора флаконы сразу закрываются пробками.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Работы с вредными веществами проводить только в вытяжном шкафу. </w:t>
      </w:r>
    </w:p>
    <w:p w:rsidR="006A383A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Концентрированные кислоты и щелочи наливать осторожно в вытяжном шкафу. Разбавление кислот производят путем 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осторожного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приливания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кислоты тонкой струйкой по стеклянной палочке в холодную воду при непрерывном помешивании. Растворение щелочей следует проводить в фарфоровой или пластиковой посуде в вытяжном шкафу на поддоне. Куски щелочи запрещается брать руками. Растворение необходимо проводить небольшими порциями при перемешивании. При несчастных случаях немедленно заявляйте дежурному лаборанту. В лаборатории имеется медицинская аптечка с необходимыми медикаментами для оказания экстренной помощи.</w:t>
      </w:r>
    </w:p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2 (</w:t>
      </w:r>
      <w:r w:rsidRPr="001A23DF">
        <w:rPr>
          <w:rFonts w:ascii="Times New Roman" w:hAnsi="Times New Roman" w:cs="Times New Roman"/>
          <w:b/>
          <w:sz w:val="28"/>
          <w:szCs w:val="28"/>
        </w:rPr>
        <w:t>25.03.19</w:t>
      </w:r>
      <w:r w:rsidRPr="001A23DF">
        <w:rPr>
          <w:rFonts w:ascii="Times New Roman" w:hAnsi="Times New Roman" w:cs="Times New Roman"/>
          <w:b/>
          <w:sz w:val="28"/>
          <w:szCs w:val="28"/>
        </w:rPr>
        <w:t>)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Подготовка материала к цитологическим исследованиям: прием, маркировка, регистрация биоматериала. В цитологическую лабораторию биологический материал должен доставляться в специальных контейнерах, в которые помещаются мазки. Во время транспортировки не допускается контакт предметного стекла (с нанесенным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нативным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материалом) и бланка-направления. Мазки должны быть доставлены в цитологическую лабораторию не позднее 3 дней после их приготовления. Сотрудник лаборатории, принимающий материал, должен проверить маркировку мазков (на них должны быть нанесены код или фамилия пациентки, идентичные </w:t>
      </w:r>
      <w:r w:rsidRPr="001A23DF">
        <w:rPr>
          <w:rFonts w:ascii="Times New Roman" w:hAnsi="Times New Roman" w:cs="Times New Roman"/>
          <w:sz w:val="28"/>
          <w:szCs w:val="28"/>
        </w:rPr>
        <w:lastRenderedPageBreak/>
        <w:t xml:space="preserve">коду и фамилии в бланке направления материала на исследование) и правильность оформления направления. В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бланкенаправлении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указываются краткие сведения о пациентке (диагноз при направлении на цитологическое исследование, проводимое лечение и др.). В бланке-направлении лаборант должен отметить количество и макроскопический вид присланных мазков, зарегистрировать получение материала в лабораторном журнале.</w:t>
      </w:r>
    </w:p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3 (26.03.19)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Организация рабочего места: приготовление реактивов, подготовка оборудования, посуды для исследования. Приготовление фосфатного буфера (рН 7,0). Поскольку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воды, используемой для приготовления рабочих красящих растворов, должна быть нейтральной (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6,8 –7,2), необходимо приготовить соответствующий буферный раствор. Для приготовления основного раствора фосфатного буфера необходимо приготовить растворы следующих солей: - КН2РО4 (однозамещенного, безводного) - 3,4 г, растворяется в 200 мл дистиллированной воды; - Nа2 НРО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 (однозамещенного, безводного) - 8,5 г, растворяется в 500 мл дистиллированной воды.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Непосредственно перед употреблением готовится рабочий раствор фосфатного буфера. Для этого к 400 мл дистиллированной воды, добавляется 20 мл раствора КН2РО4 и 60 мл раствора Nа2НРО4.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Приготовление смеси Никифорова. Для выполнения исследования препаратов от одной обследуемой требуется 70 мл смеси Никифорова, которая готовится из этилового спирта (35 мл) и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диэтилового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эфира (35мл) в пропорции 1:1. Смесь используется для хранения чистых предметных стекол. Приготовление рабочих растворов красителей. Рабочий раствор красителя азур-эозина по 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Романовскому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 перед окрашиванием препаратов разводится приготовленным рабочим буферным раствором (рН 7,0). Для этого в химический стакан к 5 мл красителя добавляется 40 мл буферного раствора. Раствор фиксатора-красителя Май-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Грюнвальда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не разводится, для окрашивания препаратов 50 мл стандартного раствора помещается в химический стакан или специальную кювету контейнера для окрашивания мазков. Отдельные партии красителя имеют различную интенсивность окраски, которая устанавливается опытным путем (окрашивается серия препаратов (мазков) раствором красителя, меняя длительность его воздействия). 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>Подготовка оборудования для проведения процедуры фиксации и окрашивания мазков. Для окрашивания препаратов (мазков) необходимо подготовить оборудование для окраски: контейнеры или рельсы для окрашивания цитологических препаратов, химические стаканы низкие для разведения красителей; резиновые перчатки.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4 (</w:t>
      </w:r>
      <w:r w:rsidRPr="001A23DF">
        <w:rPr>
          <w:rFonts w:ascii="Times New Roman" w:hAnsi="Times New Roman" w:cs="Times New Roman"/>
          <w:b/>
          <w:sz w:val="28"/>
          <w:szCs w:val="28"/>
        </w:rPr>
        <w:t>27.03.19</w:t>
      </w:r>
      <w:r w:rsidRPr="001A23DF">
        <w:rPr>
          <w:rFonts w:ascii="Times New Roman" w:hAnsi="Times New Roman" w:cs="Times New Roman"/>
          <w:b/>
          <w:sz w:val="28"/>
          <w:szCs w:val="28"/>
        </w:rPr>
        <w:t>)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Техника приготовления цитологических препаратов. Правильно выполненная фиксация и окраска мазков должна хорошо выявлять измененные клетки, их расположение, размеры, окрашиваемость, строение хроматина и т.д. Основным способом окрашивания мазков аспирата является методика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Паппенгейма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. Допускается использование в цитологических лабораториях окраски по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Папаниколау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Фиксация мазков выполняется либо как предварительный этап перед окрашиванием, либо одновременно с окрашиванием, если по технологии используются растворы готовых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панхромных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красителей. Общие правила фиксации и окрашивания мазков: - фиксация и окрашивание мазков проводится в соответствии с инструкцией производителя фиксаторов и красителей; - фиксация и окрашивание мазков может выполняться вручную или автоматически с помощью специальных устройств, в которые загружаются нефиксированные мазки.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Последующее автоматическое дозирование фиксатора-красителя и буферных растворов обеспечивает стандартную и равномерную окраску; - применение любой методики фиксации и окрашивания мазков требует точного соблюдения последовательности процедур при приготовлении растворов и промежутков времени в течение процесса фиксации и окрашивания.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Подготовительная работа для выполнения фиксации и окрашивания мазков состоит в приготовлении: буферного раствора, смеси Никифорова, основных и рабочих растворов красителей, определении интенсивности красителей, подготовке оборудования. Технология окрашивания мазков аспирата из полости матки по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Паппенгейму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Фиксация и окрашивание мазков по методу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Паппенгейма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выполняется одновременно с помощью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панхромных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гематологических красителей. Фиксация мазков. Реагент (краситель-фиксатор): раствор эозин-метиленового 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lastRenderedPageBreak/>
        <w:t>синего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 по Май-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Грюнвальду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или по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Лейшману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. Оборудование: кювета для фиксации и окраски мазков со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штативомконтейнером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или аппарат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Гематек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. Допускается применение широкогорлой посуды с притертой пробкой.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Последовательность процедур: - мазки помещают (два варианта): 1) в штатив-контейнер, опускают в кювету с фиксатором на 3-5 минут и вынимают из фиксирующего раствора; 2) или на лотки со специальными «рельсами» для окрашивания мазков и наливают раствор фиксатора-красителя на препараты на 3-5 минут; Контейнер с мазками ополаскивают в кювете с фосфатным буфером (рН 7,0) в течение 1 минуты или на мазок, помещенный на «рельсы», не сливая красителя, добавляют фосфатный буфер на 1 мин. Окрашивание мазков. Оборудование: - кювета для окраски мазков со штативом-контейнером или лотки со специальными «рельсами» для окрашивания мазков; - химические стаканы низкие (для разведения красителей). Реагенты: - рабочий раствор азур-эозина по 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Романовскому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Последовательность процедур: - контейнер с фиксированными мазками переносят в кювету с рабочим раствором красителя или фиксированные мазки располагают горизонтально на специальные рельсы и наливают по 3-4 мл красителя на каждый из препаратов; окрашивание мазков происходит в течение 8-15 минут; - смывают краску водопроводной водой; - окрашенные и промытые мазки высушивают на воздухе в течение 15 – 20 минут.</w:t>
      </w:r>
      <w:proofErr w:type="gramEnd"/>
    </w:p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5 (</w:t>
      </w:r>
      <w:r w:rsidRPr="001A23DF">
        <w:rPr>
          <w:rFonts w:ascii="Times New Roman" w:hAnsi="Times New Roman" w:cs="Times New Roman"/>
          <w:b/>
          <w:sz w:val="28"/>
          <w:szCs w:val="28"/>
        </w:rPr>
        <w:t>28.03.19</w:t>
      </w:r>
      <w:r w:rsidRPr="001A23DF">
        <w:rPr>
          <w:rFonts w:ascii="Times New Roman" w:hAnsi="Times New Roman" w:cs="Times New Roman"/>
          <w:b/>
          <w:sz w:val="28"/>
          <w:szCs w:val="28"/>
        </w:rPr>
        <w:t>)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Регистрация результатов исследования. Цитологическое заключение регистрируется на электронных или бумажных носителях, которые хранятся в лаборатории течение 3 лет; бланки с результатами цитологического исследования вклеиваются в историю болезни пациентки и хранятся – 25 лет. При использовании информационно - вычислительных систем (компьютерной техники) цитологические заключения вводятся в «электронную» историю болезни.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Препараты без патологических изменений не сохраняются, подвергаются специальной обработке (дезинфицирующими растворами) по правилам биологической безопасности. Препараты с патологическими изменениями (с цитологической картиной специфического воспаления или онкологических заболеваний) архивируются и хранятся в течение 20 лет. Архив цитологических препаратов формируют в соответствии с решением заведующего лабораторией. 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>Препараты из архива должны выдаваться по письменному запросу лечащего врача или другого ответственного сотрудника лечебно-профилактического учреждения.</w:t>
      </w:r>
    </w:p>
    <w:p w:rsidR="001A23DF" w:rsidRPr="001A23DF" w:rsidRDefault="001A23DF" w:rsidP="001A2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DF">
        <w:rPr>
          <w:rFonts w:ascii="Times New Roman" w:hAnsi="Times New Roman" w:cs="Times New Roman"/>
          <w:b/>
          <w:sz w:val="28"/>
          <w:szCs w:val="28"/>
        </w:rPr>
        <w:t>День 6 (</w:t>
      </w:r>
      <w:r w:rsidRPr="001A23DF">
        <w:rPr>
          <w:rFonts w:ascii="Times New Roman" w:hAnsi="Times New Roman" w:cs="Times New Roman"/>
          <w:b/>
          <w:sz w:val="28"/>
          <w:szCs w:val="28"/>
        </w:rPr>
        <w:t>29.03.19</w:t>
      </w:r>
      <w:r w:rsidRPr="001A23DF">
        <w:rPr>
          <w:rFonts w:ascii="Times New Roman" w:hAnsi="Times New Roman" w:cs="Times New Roman"/>
          <w:b/>
          <w:sz w:val="28"/>
          <w:szCs w:val="28"/>
        </w:rPr>
        <w:t>)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>Выполнение мер санитарно-эпидемиологического режима в цитологической лаборатории. Дезинфекцию проводят в пластиковых емкостях с крышками. Изделия однократного применения после дезинфекции подлежат утилизации. Сбор в одноразовую герметичную упаковку в "Отходы. Класс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" в соответствии с требованиями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2.1.7.2790-10 "Санитарно-эпидемиологические требования к обращению с медицинскими отходами". Многоразовая лабораторная посуда (предметные стекла, пипетки, пробки, пробирки, стеклянные палочки и т. д) складывается в течени</w:t>
      </w:r>
      <w:proofErr w:type="gramStart"/>
      <w:r w:rsidRPr="001A23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23DF">
        <w:rPr>
          <w:rFonts w:ascii="Times New Roman" w:hAnsi="Times New Roman" w:cs="Times New Roman"/>
          <w:sz w:val="28"/>
          <w:szCs w:val="28"/>
        </w:rPr>
        <w:t xml:space="preserve"> рабочего дня в емкости с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дез.раствором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при полном погружении, экспозиция с момента погружения последнего предмета. Остатки удаляют с помощью механических средств. После промывают проточной водой. Затем изделия подвергают </w:t>
      </w:r>
      <w:r>
        <w:rPr>
          <w:rFonts w:ascii="Times New Roman" w:hAnsi="Times New Roman" w:cs="Times New Roman"/>
          <w:sz w:val="28"/>
          <w:szCs w:val="28"/>
        </w:rPr>
        <w:t>дальнейше</w:t>
      </w:r>
      <w:r w:rsidRPr="001A23DF">
        <w:rPr>
          <w:rFonts w:ascii="Times New Roman" w:hAnsi="Times New Roman" w:cs="Times New Roman"/>
          <w:sz w:val="28"/>
          <w:szCs w:val="28"/>
        </w:rPr>
        <w:t xml:space="preserve">й предстерилизационной очистке и стерилизации. Качество предстерилизационной очистки оцениваю на наличие крови путем постановки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азопирамовой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пробы. Самоконтроль провожу ежедневно, контролю подвергается не менее 1 % изделий. </w:t>
      </w:r>
    </w:p>
    <w:p w:rsid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Результаты проверки заношу в журнал учета контроля предстерилизационной обработки. После предстерилизационной очистки проводят стерилизацию инструментария и посуды. Стерилизации подлежат все изделия, соприкасающиеся с раневой поверхностью и биоматериалом.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23DF">
        <w:rPr>
          <w:rFonts w:ascii="Times New Roman" w:hAnsi="Times New Roman" w:cs="Times New Roman"/>
          <w:sz w:val="28"/>
          <w:szCs w:val="28"/>
        </w:rPr>
        <w:t xml:space="preserve">Влажная уборка помещений лаборатории проводится ежедневно с применением моющих и дезинфицирующих средств, с последующим </w:t>
      </w:r>
      <w:proofErr w:type="spellStart"/>
      <w:r w:rsidRPr="001A23DF">
        <w:rPr>
          <w:rFonts w:ascii="Times New Roman" w:hAnsi="Times New Roman" w:cs="Times New Roman"/>
          <w:sz w:val="28"/>
          <w:szCs w:val="28"/>
        </w:rPr>
        <w:t>кварцеванием</w:t>
      </w:r>
      <w:proofErr w:type="spellEnd"/>
      <w:r w:rsidRPr="001A23DF">
        <w:rPr>
          <w:rFonts w:ascii="Times New Roman" w:hAnsi="Times New Roman" w:cs="Times New Roman"/>
          <w:sz w:val="28"/>
          <w:szCs w:val="28"/>
        </w:rPr>
        <w:t xml:space="preserve"> бактерицидной лампой. Количество отработанных часов лампы учитываю в журнале. Так же ведется учёт генеральных уборок, которые проводятся по утвержденному графику один раз в неделю.</w:t>
      </w:r>
    </w:p>
    <w:p w:rsidR="001A23DF" w:rsidRPr="001A23DF" w:rsidRDefault="001A23DF" w:rsidP="001A23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3DF" w:rsidRPr="001A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16"/>
    <w:rsid w:val="001A23DF"/>
    <w:rsid w:val="002E1916"/>
    <w:rsid w:val="007D19E4"/>
    <w:rsid w:val="00C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2019-06-06T11:12:00Z</dcterms:created>
  <dcterms:modified xsi:type="dcterms:W3CDTF">2019-06-06T11:20:00Z</dcterms:modified>
</cp:coreProperties>
</file>