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3E" w:rsidRPr="007A272D" w:rsidRDefault="00F7443E" w:rsidP="004F075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имени профессора В.Ф. Войно-Ясенецкого"</w:t>
      </w: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:rsidR="00F7443E" w:rsidRPr="007A272D" w:rsidRDefault="00F7443E" w:rsidP="004F075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F7443E" w:rsidRPr="007A272D" w:rsidRDefault="00F7443E" w:rsidP="004F075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</w:t>
      </w:r>
      <w:proofErr w:type="gram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75A" w:rsidRDefault="00F7443E" w:rsidP="007A272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на тему: </w:t>
      </w:r>
    </w:p>
    <w:p w:rsidR="00F7443E" w:rsidRPr="007A272D" w:rsidRDefault="00BE6116" w:rsidP="007A272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11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БАЛЛОННО-АССИСТИРОВАННАЯ ЭНТЕРОСКОПИЯ</w:t>
      </w:r>
      <w:proofErr w:type="gramStart"/>
      <w:r w:rsidR="00F7443E" w:rsidRPr="00BE611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</w:t>
      </w:r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В</w:t>
      </w:r>
      <w:proofErr w:type="gramEnd"/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ыполнил</w:t>
      </w:r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Аргаткин</w:t>
      </w:r>
      <w:proofErr w:type="spellEnd"/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И.</w:t>
      </w:r>
      <w:proofErr w:type="gramStart"/>
      <w:r w:rsidR="004F07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Проверила</w:t>
      </w:r>
      <w:proofErr w:type="gramEnd"/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hyperlink r:id="rId5" w:history="1">
        <w:r w:rsidR="00F7443E"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ДМН</w:t>
        </w:r>
      </w:hyperlink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history="1">
        <w:r w:rsidR="00F7443E" w:rsidRPr="007A27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профессор</w:t>
        </w:r>
      </w:hyperlink>
      <w:r w:rsidR="00F7443E"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: Первова О.В.</w:t>
      </w: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72D" w:rsidRPr="007A272D" w:rsidRDefault="007A272D" w:rsidP="007A272D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DB5" w:rsidRPr="007A272D" w:rsidRDefault="00F7443E" w:rsidP="007A272D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Красноярск 202</w:t>
      </w:r>
      <w:r w:rsidR="00BE6116">
        <w:rPr>
          <w:rFonts w:ascii="Times New Roman" w:hAnsi="Times New Roman" w:cs="Times New Roman"/>
          <w:sz w:val="28"/>
          <w:szCs w:val="28"/>
        </w:rPr>
        <w:t>2</w:t>
      </w:r>
    </w:p>
    <w:p w:rsidR="00F7443E" w:rsidRPr="007A272D" w:rsidRDefault="00F7443E" w:rsidP="007A27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7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A6AA3" w:rsidRPr="00BA6AA3" w:rsidRDefault="00F7443E" w:rsidP="00BA6AA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Определение, актуальность проблемы</w:t>
      </w:r>
    </w:p>
    <w:p w:rsidR="00F7443E" w:rsidRPr="007A272D" w:rsidRDefault="00C8217F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метода</w:t>
      </w:r>
      <w:r w:rsidR="00F7443E" w:rsidRPr="007A272D">
        <w:rPr>
          <w:rFonts w:ascii="Times New Roman" w:hAnsi="Times New Roman" w:cs="Times New Roman"/>
          <w:sz w:val="28"/>
          <w:szCs w:val="28"/>
        </w:rPr>
        <w:t>.</w:t>
      </w:r>
    </w:p>
    <w:p w:rsidR="00F42BB7" w:rsidRPr="007A272D" w:rsidRDefault="00640A5E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исследования</w:t>
      </w:r>
      <w:r w:rsidR="00F42BB7" w:rsidRPr="007A272D">
        <w:rPr>
          <w:rFonts w:ascii="Times New Roman" w:hAnsi="Times New Roman" w:cs="Times New Roman"/>
          <w:sz w:val="28"/>
          <w:szCs w:val="28"/>
        </w:rPr>
        <w:t>.</w:t>
      </w:r>
    </w:p>
    <w:p w:rsidR="00F7443E" w:rsidRPr="00080377" w:rsidRDefault="00080377" w:rsidP="00080377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Заклюение</w:t>
      </w:r>
      <w:proofErr w:type="spellEnd"/>
      <w:r w:rsidR="00F7443E" w:rsidRPr="00080377">
        <w:rPr>
          <w:rFonts w:ascii="Times New Roman" w:hAnsi="Times New Roman" w:cs="Times New Roman"/>
          <w:sz w:val="28"/>
          <w:szCs w:val="28"/>
        </w:rPr>
        <w:t>.</w:t>
      </w:r>
    </w:p>
    <w:p w:rsidR="007A272D" w:rsidRPr="007A272D" w:rsidRDefault="007A272D" w:rsidP="007A272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272D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Pr="007A272D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43E" w:rsidRDefault="00F7443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55E" w:rsidRPr="007A272D" w:rsidRDefault="0036755E" w:rsidP="007A27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BA6AA3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BA6AA3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BA6AA3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77" w:rsidRDefault="00080377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77" w:rsidRDefault="00080377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4F2E" w:rsidRDefault="00CD4F2E" w:rsidP="00BA6AA3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AA3" w:rsidRDefault="00BE6116" w:rsidP="00BA6AA3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366519">
        <w:rPr>
          <w:rFonts w:ascii="Times New Roman" w:hAnsi="Times New Roman" w:cs="Times New Roman"/>
          <w:b/>
          <w:bCs/>
          <w:sz w:val="28"/>
          <w:szCs w:val="28"/>
        </w:rPr>
        <w:t>ктуальность.</w:t>
      </w:r>
    </w:p>
    <w:p w:rsidR="00FB7887" w:rsidRPr="00366519" w:rsidRDefault="00BE6116" w:rsidP="00366519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Своевременная диагностика и лечение тонкокишечных кровотечений (ТКК), опухолевых и воспалительных заболеваний тонкой кишки всегда представляли серьёзную задачу для хирургов и гастроэнтерологов. Тонкая кишка долгое время оставалась органом, труднодоступным для прямой визуальной диагностики. Как следствие, поражения тонкой кишки диагностировались клиницистами на поздних стадиях и в половине случаев во время экстренного оперативного вмешательства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поводу развившегося осложнения.</w:t>
      </w:r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 и развитие современных эндоскопических методов, таких как </w:t>
      </w:r>
      <w:proofErr w:type="spellStart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видеокапсульная</w:t>
      </w:r>
      <w:proofErr w:type="spellEnd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энтероскопия</w:t>
      </w:r>
      <w:proofErr w:type="spellEnd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(ВКЭ) и </w:t>
      </w:r>
      <w:proofErr w:type="spellStart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баллонно-ассистированная</w:t>
      </w:r>
      <w:proofErr w:type="spellEnd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энтероскопия</w:t>
      </w:r>
      <w:proofErr w:type="spellEnd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(БАЭ), в значительной мере оптимизировало диагностические и лечебные алгоритмы ведения больных с заболеваниями тонкой кишки хирургического профиля[1].</w:t>
      </w:r>
      <w:r w:rsidRPr="00BE6116">
        <w:t xml:space="preserve"> </w:t>
      </w:r>
      <w:r>
        <w:t xml:space="preserve"> </w:t>
      </w:r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БАЭ играет существенную роль в выборе лечебной тактики при болезни Крона, позволяя решить вопрос о назначении консервативной терапии, возможности выполнения эндоскопической дилатации стриктуры или определении пока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заний к хирургическому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</w:t>
      </w:r>
      <w:proofErr w:type="spellEnd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образом, внедрение современных методов </w:t>
      </w:r>
      <w:proofErr w:type="spellStart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BE6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клиническую практику позволяет не только выполнять высокоэффективную и управляемую диагностику, но и обеспечивает возможность проведения лечебных вмешательств через эндоскоп на любой глубине тонкой кишки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BB7" w:rsidRDefault="00C8217F" w:rsidP="00366519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17F">
        <w:rPr>
          <w:rFonts w:ascii="Times New Roman" w:hAnsi="Times New Roman" w:cs="Times New Roman"/>
          <w:b/>
          <w:sz w:val="28"/>
          <w:szCs w:val="28"/>
        </w:rPr>
        <w:t>История создания метода</w:t>
      </w:r>
      <w:r w:rsidR="00F7443E" w:rsidRPr="003665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6519" w:rsidRDefault="00366519" w:rsidP="00366519">
      <w:pPr>
        <w:pStyle w:val="a4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F42BB7" w:rsidRDefault="00C8217F" w:rsidP="00640A5E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попытки визуальной диагностики тонкой кишки были предприняты практически сразу вслед за внедрением в широкую практику гастроскопии и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колоноскопии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H.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Hiratsuka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1971 году выполнил успешное эндоскопическое исследование тонкой кишки с использованием зондового эндоскопа, способного продвигаться за счет есте</w:t>
      </w:r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ственной перистальтики кишки</w:t>
      </w:r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Рабочая длина зондовых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энтероскопов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времени составляла 250–400 см. Однако этот способ визуализации не получил широкого распространения вследствие недостаточной маневренности, длительности процедуры (до 8 часов), отсутствия возможности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инсуффляции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воздуха, что позволяло осмотреть участки тонкой кишки только в процессе извлечения эндоскопа. В 1973 году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Ogoshi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K. выполнил осмотр тонкой кишки за связкой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Трейца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гибкого эндоскопа у больных с т</w:t>
      </w:r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онкокишечными кровотечениями</w:t>
      </w:r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Parker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Agayoff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1983 году опубликовали работы по проведению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</w:t>
      </w:r>
      <w:proofErr w:type="spellStart"/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колоноскопа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Далее был длительный период без прогресса. И только через 40 лет с момента внедрения в медицинскую практику эндоскопии появился новый метод </w:t>
      </w:r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исследования патологии тонкой кишки –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энтероскопия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H.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Yamomoto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сотрудничестве с компанией «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Fujinon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создал в начале 2001 года и применил в клинической прак</w:t>
      </w:r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тике </w:t>
      </w:r>
      <w:proofErr w:type="spellStart"/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двухбалонный</w:t>
      </w:r>
      <w:proofErr w:type="spellEnd"/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видеоэндоскоп</w:t>
      </w:r>
      <w:proofErr w:type="spellEnd"/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дало возможность не только наблюдать за состоянием просвета и слизистой оболочки глубоких отделов тонкой кишки, но и выполнять такие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миниинвазивные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вмешательства, как взятие биопсии, удаление эпителиальных новообразований, остановка кровотечений и др. В 2006 году компанией «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Olympus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был разработан и внедрен в клиническую практику новый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однобалонный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также позволял выполнять не только диагностические, но и лечебные вмешательства на тонкой</w:t>
      </w:r>
      <w:proofErr w:type="gram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кишке. В 2006–2008 гг. отдельные клинические центры Японии, Америки, Италии, Франции представили первые положительные результаты применения нового аппарата. По данным T.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Tsujikawa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соавт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однобалонный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обладая всеми описанными положительными качествами, имеет некоторые преимущества в сравнении с </w:t>
      </w:r>
      <w:proofErr w:type="spellStart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двухбалонной</w:t>
      </w:r>
      <w:proofErr w:type="spellEnd"/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системой: он более прост в обработке и подготовке к исследованию, обеспечивает более короткую продолжительность самого исследования в связи с отсутствием необходимост</w:t>
      </w:r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раздувания второго баллона</w:t>
      </w:r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этого момента начинается новый период в исследовании глу</w:t>
      </w:r>
      <w:r w:rsidR="0088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боких отделов тонкого кишечника </w:t>
      </w:r>
      <w:r w:rsidR="00880A21"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80A21"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640A5E" w:rsidRPr="00640A5E" w:rsidRDefault="00640A5E" w:rsidP="00CD4F2E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0A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Методика в</w:t>
      </w:r>
      <w:r w:rsidRPr="00640A5E">
        <w:rPr>
          <w:rFonts w:ascii="Times New Roman" w:hAnsi="Times New Roman" w:cs="Times New Roman"/>
          <w:b/>
          <w:sz w:val="28"/>
          <w:szCs w:val="28"/>
        </w:rPr>
        <w:t>ыполнения</w:t>
      </w:r>
    </w:p>
    <w:p w:rsidR="00B11460" w:rsidRDefault="00640A5E" w:rsidP="00B11460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Методом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однобаллонной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SIF-Q180 (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Olympus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Япония).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Еюноиле</w:t>
      </w:r>
      <w:proofErr w:type="gram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колоноилеоскопию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системы, состоящей из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видеоэнтероскопа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тубуса с баллоном на дистальном конце и контролирующего блока. Перед началом исследования силиконовый тубус размещали поверх эндоскопа, предварительно смочив гидрофильное покрытие внутренней стороны тубуса водой для облегчения скольжения аппарата в ходе исследования. Плотно прикрепленный к дистальному концу тубуса силиконовый баллон раздували и сдували с помощью воздуха, подачу и давление которого контролировали с помощью блока управления нагнетания воздуха в баллон (MAJ1725,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Olympus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Техника выполнения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однобаллонной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трансоральной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состояла из четырех основных этапов: проведение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пищевод, желудок, привратник в вертикальный отдел двенадцатиперстной кишки; прохождение связки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Трейца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присборивание тонкой кишки; осмотр тонкой кишки на выходе. Основным этапом проведения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глубокие отделы тонкой кишки являлся третий этап — присборивание тонкой кишки, который выполняли следующим образом: раздув баллон и тем самым зафиксировав тощую кишку на этом уровне, подтягивали тубус и эндоскоп, что способствовало </w:t>
      </w:r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расправлению образованной петли и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сосбориванию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тонкой кишки. Слегка подтягивая тубус, проводили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дальше, до «подходящего» изгиба тонкой кишки, за который можно было «зацепиться». Фиксировали дистальный конец эндоскопа в «подходящем» изгибе тонкой кишки путем сгибания его дистального конца. Сдували баллон и низводили тубус по эндоскопу, слегка подтягивая эндоскоп. Повторяя подобные циклы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продвиженияприсборивания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всякий раз фиксировали расстояние, на которое удалось пройти по тонкой кишке в дистальном направлении. Техника выполнения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однобаллонной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трансанальной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этапе прохождения прямой и ободочной кишки во многом похожа на методику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имеет и свои особенности. Главная из них заключается в наличии «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шинирующего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тубуса и возможности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сосборивания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кишки с помощью баллона. Техника же самой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 продвижения аппарата, низведения, фиксации тубуса и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сосборивания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подвздошной кишки похожа на описанную выше технику выполнения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трансоральной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первых этапах выполнения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колоноилеоскопии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случаях наличия стеноза области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баугиниевой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заслонки или терминального отдела подвздошной кишки, считали его наличие ограничением метода. Однако в последнее время стали применять методику «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бужирования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стриктуры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энтероскопом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последующим прохождением аппарата выше стриктуры, осмотром подвздошной кишки и адекватным взятием биопсии из зон поражения слизистой оболочки. Метод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двухбаллонной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22770" w:rsidRDefault="00640A5E" w:rsidP="00B11460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Методом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двухбаллонной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EN-450T5 (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Fujifi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lm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Япония).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Двухбаллонная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еюноилеои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колоноилеоскопия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видеоэнтероскопа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разовой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шинирующей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трубки с дистальным баллоном на конце, второго латексного баллона, который с помощью колец прикреплялся на дистальный конец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энтероскопа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блока, контролирующего нагнетание воздуха в баллоны. Техника выполнения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двухбаллонной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еюноилеои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колоноилеоскопии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схожа с описанной выше техникой выполнения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однобаллонной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64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Отличительной особенностью проведения исследования было раздувание второго баллона на дистальном конце аппарата, который обеспечивал дополнительную фиксацию стенок достигнутого глубокого участка тонкой кишки. Таким образом, присборивание тонкой кишки осуществляли с помощью подтягивани</w:t>
      </w:r>
      <w:r w:rsid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всей системы на двух баллонах</w:t>
      </w:r>
      <w:r w:rsidR="00B11460"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11460"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B11460" w:rsidRDefault="00B11460" w:rsidP="00B11460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377" w:rsidRPr="00640A5E" w:rsidRDefault="00080377" w:rsidP="00B11460">
      <w:pPr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7357" w:rsidRPr="00080377" w:rsidRDefault="00B07357" w:rsidP="00B07357">
      <w:pPr>
        <w:pStyle w:val="a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23B" w:rsidRDefault="0007223B" w:rsidP="0007223B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B07357" w:rsidRPr="00B07357" w:rsidRDefault="00B07357" w:rsidP="00B07357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Баллонно-ассистированная</w:t>
      </w:r>
      <w:proofErr w:type="spellEnd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энтероскопия</w:t>
      </w:r>
      <w:proofErr w:type="spellEnd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выполнить полноценный управляемый осмотр просвета и слизистой оболочки тонкой кишки, а возможность получения материала для морфологического исследования меняет существовавшие ранее представления о частоте встречаемости, происхождении и сущности различных патологических изменений тонкой кишки. В совокупности это обеспечивает обоснованное принятие тактических решений и более точную предоперационную диагностику. </w:t>
      </w:r>
    </w:p>
    <w:p w:rsidR="00B07357" w:rsidRDefault="00B07357" w:rsidP="00B07357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Выполнение </w:t>
      </w:r>
      <w:proofErr w:type="spellStart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лечебных целях позволяет расширить показания к </w:t>
      </w:r>
      <w:proofErr w:type="spellStart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малоинвазивным</w:t>
      </w:r>
      <w:proofErr w:type="spellEnd"/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вмешательствам при хирургических заболеваниях тощей и подвздошной кишки, а в изменённых анатомических условиях — на желчевыводящих путях и протоках поджелудочной железы</w:t>
      </w:r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8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B07357" w:rsidRPr="00B07357" w:rsidRDefault="00B07357" w:rsidP="00B07357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Данный метод является весьма затратный и требует навыка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272D" w:rsidRPr="00451B2A" w:rsidRDefault="007A272D" w:rsidP="007A272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0ED1" w:rsidRDefault="002D0ED1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0377" w:rsidRDefault="00080377" w:rsidP="00451B2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7357" w:rsidRDefault="00B07357" w:rsidP="00B073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B2A" w:rsidRPr="00451B2A" w:rsidRDefault="007A272D" w:rsidP="00B0735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451B2A" w:rsidRPr="00B11460" w:rsidRDefault="00BE6116" w:rsidP="00451B2A">
      <w:pPr>
        <w:pStyle w:val="a4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Иванова Е. В., Федоров Е. Д., Юдин О. И. и др. Роль </w:t>
      </w:r>
      <w:proofErr w:type="spellStart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диагностике опухолей и </w:t>
      </w:r>
      <w:proofErr w:type="spellStart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предопухолевых</w:t>
      </w:r>
      <w:proofErr w:type="spellEnd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заболеваний тонкой кишки // РЖГГК.—2011.—№ 4.—С. 88</w:t>
      </w:r>
    </w:p>
    <w:p w:rsidR="002D0ED1" w:rsidRPr="00B11460" w:rsidRDefault="00880A21" w:rsidP="00451B2A">
      <w:pPr>
        <w:pStyle w:val="a4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Федоров Е.Д., Иванова Е.В. и др. Диагностические возможности </w:t>
      </w:r>
      <w:proofErr w:type="spellStart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однобалонной</w:t>
      </w:r>
      <w:proofErr w:type="spellEnd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//Российский журнал гастроэнтерологии, </w:t>
      </w:r>
      <w:proofErr w:type="spellStart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гепатологии</w:t>
      </w:r>
      <w:proofErr w:type="spellEnd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колопроктологии</w:t>
      </w:r>
      <w:proofErr w:type="spellEnd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2010. – № 2. – С. 44–53.</w:t>
      </w:r>
      <w:r w:rsidR="002D0ED1"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1460" w:rsidRDefault="00B11460" w:rsidP="00B11460">
      <w:pPr>
        <w:pStyle w:val="a4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ОПЫТ ПРИМЕНЕНИЯ БАЛОННО-АССИСТИРОВАННОЙ ЭНТЕРОСКОПИИ/В. М. ДУРЛЕШТЕР/Кубанский научный медицинский вестник, № 1 (162), 2017/</w:t>
      </w:r>
    </w:p>
    <w:p w:rsidR="00B11460" w:rsidRDefault="00B11460" w:rsidP="00B11460">
      <w:pPr>
        <w:pStyle w:val="a4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применения современных методов </w:t>
      </w:r>
      <w:proofErr w:type="spellStart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энтероскопии</w:t>
      </w:r>
      <w:proofErr w:type="spellEnd"/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диагностике болезни Крона/ </w:t>
      </w:r>
      <w:hyperlink r:id="rId7" w:history="1">
        <w:r w:rsidRPr="00B07357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Экспериментальная и клиническая гастроэнтерология</w:t>
        </w:r>
      </w:hyperlink>
      <w:r w:rsidRPr="00B11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/2011/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Е.В.</w:t>
      </w:r>
    </w:p>
    <w:p w:rsidR="00B07357" w:rsidRPr="00B11460" w:rsidRDefault="00B07357" w:rsidP="00B11460">
      <w:pPr>
        <w:pStyle w:val="a4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БАЛЛОННО-АССИСТИРОВАННАЯ ЭНТЕРОСКОПИЯ В ХИРУРГИЧЕСКОЙ ПРАКТИКЕ/ Вестник хирургии 2011/ Е. Д. Фёдоров, Е. В. Иванова</w:t>
      </w:r>
    </w:p>
    <w:p w:rsidR="00B11460" w:rsidRPr="00B11460" w:rsidRDefault="00B11460" w:rsidP="00B07357">
      <w:pPr>
        <w:pStyle w:val="a4"/>
        <w:spacing w:before="100" w:beforeAutospacing="1" w:after="100" w:afterAutospacing="1"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73D" w:rsidRPr="00B11460" w:rsidRDefault="0011473D" w:rsidP="007A272D">
      <w:pPr>
        <w:pStyle w:val="a5"/>
        <w:spacing w:line="276" w:lineRule="auto"/>
        <w:rPr>
          <w:color w:val="000000"/>
          <w:sz w:val="28"/>
          <w:szCs w:val="28"/>
        </w:rPr>
      </w:pPr>
    </w:p>
    <w:p w:rsidR="0011473D" w:rsidRPr="00B11460" w:rsidRDefault="0011473D" w:rsidP="007A27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1473D" w:rsidRPr="00B11460" w:rsidSect="00AD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640"/>
    <w:multiLevelType w:val="multilevel"/>
    <w:tmpl w:val="D964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D629C"/>
    <w:multiLevelType w:val="multilevel"/>
    <w:tmpl w:val="A75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74CAF"/>
    <w:multiLevelType w:val="multilevel"/>
    <w:tmpl w:val="248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C5958"/>
    <w:multiLevelType w:val="multilevel"/>
    <w:tmpl w:val="C1B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37184"/>
    <w:multiLevelType w:val="hybridMultilevel"/>
    <w:tmpl w:val="CF9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5A47"/>
    <w:multiLevelType w:val="hybridMultilevel"/>
    <w:tmpl w:val="EC48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B96"/>
    <w:multiLevelType w:val="multilevel"/>
    <w:tmpl w:val="AB3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EA3621"/>
    <w:multiLevelType w:val="hybridMultilevel"/>
    <w:tmpl w:val="FEDC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B5"/>
    <w:rsid w:val="0007223B"/>
    <w:rsid w:val="00080377"/>
    <w:rsid w:val="000820FB"/>
    <w:rsid w:val="0011473D"/>
    <w:rsid w:val="001301AA"/>
    <w:rsid w:val="002D0ED1"/>
    <w:rsid w:val="00366519"/>
    <w:rsid w:val="0036755E"/>
    <w:rsid w:val="00451B2A"/>
    <w:rsid w:val="00474BDF"/>
    <w:rsid w:val="004E2976"/>
    <w:rsid w:val="004F075A"/>
    <w:rsid w:val="005B4803"/>
    <w:rsid w:val="005B5677"/>
    <w:rsid w:val="005F2DB5"/>
    <w:rsid w:val="00640A5E"/>
    <w:rsid w:val="00644B8D"/>
    <w:rsid w:val="00667225"/>
    <w:rsid w:val="006F2F93"/>
    <w:rsid w:val="007A272D"/>
    <w:rsid w:val="00880A21"/>
    <w:rsid w:val="008A0771"/>
    <w:rsid w:val="00A22770"/>
    <w:rsid w:val="00A5069F"/>
    <w:rsid w:val="00AD65A2"/>
    <w:rsid w:val="00AD7D26"/>
    <w:rsid w:val="00AE66A5"/>
    <w:rsid w:val="00B07357"/>
    <w:rsid w:val="00B11460"/>
    <w:rsid w:val="00BA6AA3"/>
    <w:rsid w:val="00BE6116"/>
    <w:rsid w:val="00C2163A"/>
    <w:rsid w:val="00C8217F"/>
    <w:rsid w:val="00C96D91"/>
    <w:rsid w:val="00CB2088"/>
    <w:rsid w:val="00CD4F2E"/>
    <w:rsid w:val="00DC7C43"/>
    <w:rsid w:val="00E3777F"/>
    <w:rsid w:val="00E500BB"/>
    <w:rsid w:val="00F42BB7"/>
    <w:rsid w:val="00F7443E"/>
    <w:rsid w:val="00F9371C"/>
    <w:rsid w:val="00FB6135"/>
    <w:rsid w:val="00FB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3E"/>
  </w:style>
  <w:style w:type="paragraph" w:styleId="1">
    <w:name w:val="heading 1"/>
    <w:basedOn w:val="a"/>
    <w:next w:val="a"/>
    <w:link w:val="10"/>
    <w:uiPriority w:val="9"/>
    <w:qFormat/>
    <w:rsid w:val="00451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4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4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88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506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1B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uthor-name">
    <w:name w:val="author-name"/>
    <w:basedOn w:val="a0"/>
    <w:rsid w:val="00451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eksperimentalnaya-i-klinicheskaya-gastroenterolog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search&amp;cat=user&amp;c%5bscititle%5d=2" TargetMode="External"/><Relationship Id="rId5" Type="http://schemas.openxmlformats.org/officeDocument/2006/relationships/hyperlink" Target="https://krasgmu.ru/index.php?page%5bcommon%5d=search&amp;cat=user&amp;c%5bdegree%5d=2&amp;c%5bdegrees%5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Нейджек</dc:creator>
  <cp:lastModifiedBy>Игорь</cp:lastModifiedBy>
  <cp:revision>3</cp:revision>
  <dcterms:created xsi:type="dcterms:W3CDTF">2022-05-29T12:42:00Z</dcterms:created>
  <dcterms:modified xsi:type="dcterms:W3CDTF">2022-06-02T18:08:00Z</dcterms:modified>
</cp:coreProperties>
</file>