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7897">
        <w:rPr>
          <w:rFonts w:ascii="Times New Roman" w:hAnsi="Times New Roman" w:cs="Times New Roman"/>
          <w:sz w:val="28"/>
          <w:szCs w:val="28"/>
        </w:rPr>
        <w:t>Содержание :</w:t>
      </w:r>
      <w:proofErr w:type="gramEnd"/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1.Определение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, этиология, классификация заболевания 1</w:t>
      </w:r>
      <w:proofErr w:type="gramStart"/>
      <w:r w:rsidRPr="002A7897">
        <w:rPr>
          <w:rFonts w:ascii="Times New Roman" w:hAnsi="Times New Roman" w:cs="Times New Roman"/>
          <w:sz w:val="28"/>
          <w:szCs w:val="28"/>
        </w:rPr>
        <w:t>стр..</w:t>
      </w:r>
      <w:proofErr w:type="gramEnd"/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2. Клинические проявления заболевания и формы 1-2 </w:t>
      </w:r>
      <w:proofErr w:type="gramStart"/>
      <w:r w:rsidRPr="002A7897">
        <w:rPr>
          <w:rFonts w:ascii="Times New Roman" w:hAnsi="Times New Roman" w:cs="Times New Roman"/>
          <w:sz w:val="28"/>
          <w:szCs w:val="28"/>
        </w:rPr>
        <w:t>стр..</w:t>
      </w:r>
      <w:proofErr w:type="gramEnd"/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3.Диагностика: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физикальная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, лабораторная, </w:t>
      </w:r>
      <w:proofErr w:type="spellStart"/>
      <w:proofErr w:type="gramStart"/>
      <w:r w:rsidRPr="002A7897">
        <w:rPr>
          <w:rFonts w:ascii="Times New Roman" w:hAnsi="Times New Roman" w:cs="Times New Roman"/>
          <w:sz w:val="28"/>
          <w:szCs w:val="28"/>
        </w:rPr>
        <w:t>инструментальная.Дифференциальная</w:t>
      </w:r>
      <w:proofErr w:type="spellEnd"/>
      <w:proofErr w:type="gramEnd"/>
      <w:r w:rsidRPr="002A7897">
        <w:rPr>
          <w:rFonts w:ascii="Times New Roman" w:hAnsi="Times New Roman" w:cs="Times New Roman"/>
          <w:sz w:val="28"/>
          <w:szCs w:val="28"/>
        </w:rPr>
        <w:t xml:space="preserve"> диагностика.4-7 стр.</w:t>
      </w: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Гипекальциемический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криз 2-4 </w:t>
      </w:r>
      <w:proofErr w:type="gramStart"/>
      <w:r w:rsidRPr="002A7897">
        <w:rPr>
          <w:rFonts w:ascii="Times New Roman" w:hAnsi="Times New Roman" w:cs="Times New Roman"/>
          <w:sz w:val="28"/>
          <w:szCs w:val="28"/>
        </w:rPr>
        <w:t>стр..</w:t>
      </w:r>
      <w:proofErr w:type="gramEnd"/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4. Методы лечения 8-9стр.</w:t>
      </w: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Default="001C5C2B" w:rsidP="001C5C2B">
      <w:pPr>
        <w:rPr>
          <w:rFonts w:ascii="Times New Roman" w:hAnsi="Times New Roman" w:cs="Times New Roman"/>
          <w:sz w:val="28"/>
          <w:szCs w:val="28"/>
        </w:rPr>
      </w:pPr>
    </w:p>
    <w:p w:rsidR="002A7897" w:rsidRPr="002A7897" w:rsidRDefault="002A7897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F41335">
      <w:pPr>
        <w:rPr>
          <w:rFonts w:ascii="Times New Roman" w:hAnsi="Times New Roman" w:cs="Times New Roman"/>
          <w:b/>
          <w:sz w:val="28"/>
          <w:szCs w:val="28"/>
        </w:rPr>
      </w:pPr>
    </w:p>
    <w:p w:rsidR="00F41335" w:rsidRPr="002A7897" w:rsidRDefault="00F41335" w:rsidP="00F413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7897">
        <w:rPr>
          <w:rFonts w:ascii="Times New Roman" w:hAnsi="Times New Roman" w:cs="Times New Roman"/>
          <w:b/>
          <w:sz w:val="28"/>
          <w:szCs w:val="28"/>
        </w:rPr>
        <w:lastRenderedPageBreak/>
        <w:t>Гиперпаратиреоз</w:t>
      </w:r>
      <w:proofErr w:type="spellEnd"/>
      <w:r w:rsidRPr="002A7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897">
        <w:rPr>
          <w:rFonts w:ascii="Times New Roman" w:hAnsi="Times New Roman" w:cs="Times New Roman"/>
          <w:sz w:val="28"/>
          <w:szCs w:val="28"/>
        </w:rPr>
        <w:t xml:space="preserve">- эндокринное заболевание, в основе которой лежит избыточная продукция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паратгормона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(ПТГ) околощитовидными железами (ОЩЖ). </w:t>
      </w:r>
    </w:p>
    <w:p w:rsidR="00F41335" w:rsidRPr="002A7897" w:rsidRDefault="00F41335" w:rsidP="00F41335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Этиология: ПГПТ в 80-85% случаев обусловлен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солитарной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аденомой околощитовидной железы (ОЩЖ), в 10-15 % случаев – гиперплазией нескольких/всех ОЩЖ; в 1-5% – раком ОЩЖ. В 90-95% случаев ПГПТ является спорадическим, около 5% случаев ПГПТ составляют наследственные формы, и проявляются либо как изолированное заболевание, либо в сочетании с другими клиническими проявлениями. Для ПГПТ в рамках наследственных заболеваний характерно множественное поражение </w:t>
      </w:r>
      <w:proofErr w:type="gramStart"/>
      <w:r w:rsidRPr="002A7897">
        <w:rPr>
          <w:rFonts w:ascii="Times New Roman" w:hAnsi="Times New Roman" w:cs="Times New Roman"/>
          <w:sz w:val="28"/>
          <w:szCs w:val="28"/>
        </w:rPr>
        <w:t>ОЩЖ .</w:t>
      </w:r>
      <w:proofErr w:type="gramEnd"/>
    </w:p>
    <w:p w:rsidR="00F41335" w:rsidRPr="002A7897" w:rsidRDefault="00F41335" w:rsidP="00F41335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 Первичный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- эндокринное заболевание, характеризующееся избыточной секрецией ПТГ при верхне-нормальном или повышенном уровне кальция крови вследствие первичной патологии ОЩЖ. </w:t>
      </w:r>
    </w:p>
    <w:p w:rsidR="00F41335" w:rsidRPr="002A7897" w:rsidRDefault="00F41335" w:rsidP="00F41335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Вторичный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- увеличение функциональной активности и размеров ОЩЖ при длительно сниженном уровне кальция (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) и повышенном уровне фосфора (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гиперфосфатемия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) в крови.</w:t>
      </w:r>
    </w:p>
    <w:p w:rsidR="00F41335" w:rsidRPr="002A7897" w:rsidRDefault="00F41335" w:rsidP="00F41335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 Третичный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- развитие аденомы ОЩЖ и увеличение выработки ПТГ в условиях длительного существования вторичного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гиперпаратиреоза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.</w:t>
      </w:r>
    </w:p>
    <w:p w:rsidR="00F41335" w:rsidRPr="002A7897" w:rsidRDefault="00F41335" w:rsidP="00F413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Симптомы </w:t>
      </w:r>
      <w:proofErr w:type="spellStart"/>
      <w:r w:rsidRPr="002A7897">
        <w:rPr>
          <w:rFonts w:ascii="Times New Roman" w:hAnsi="Times New Roman" w:cs="Times New Roman"/>
          <w:b/>
          <w:bCs/>
          <w:sz w:val="28"/>
          <w:szCs w:val="28"/>
        </w:rPr>
        <w:t>гиперпаратиреоза</w:t>
      </w:r>
      <w:proofErr w:type="spellEnd"/>
    </w:p>
    <w:p w:rsidR="00F41335" w:rsidRPr="002A7897" w:rsidRDefault="00F41335" w:rsidP="00F41335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Клинические проявления </w:t>
      </w:r>
      <w:proofErr w:type="spellStart"/>
      <w:r w:rsidRPr="002A7897">
        <w:rPr>
          <w:rFonts w:ascii="Times New Roman" w:hAnsi="Times New Roman" w:cs="Times New Roman"/>
          <w:i/>
          <w:iCs/>
          <w:sz w:val="28"/>
          <w:szCs w:val="28"/>
        </w:rPr>
        <w:t>гиперпаратиреоза</w:t>
      </w:r>
      <w:proofErr w:type="spellEnd"/>
      <w:r w:rsidRPr="002A789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A7897">
        <w:rPr>
          <w:rFonts w:ascii="Times New Roman" w:hAnsi="Times New Roman" w:cs="Times New Roman"/>
          <w:sz w:val="28"/>
          <w:szCs w:val="28"/>
        </w:rPr>
        <w:t>в зависимости от того, что больше поражено (кости, почки, желудочно-кишечный тракт, психическая и неврологическая сферы), как бы комплектуются в определенные группы. На фоне этого различают формы</w:t>
      </w:r>
      <w:r w:rsidRPr="002A7897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2A7897">
        <w:rPr>
          <w:rFonts w:ascii="Times New Roman" w:hAnsi="Times New Roman" w:cs="Times New Roman"/>
          <w:i/>
          <w:iCs/>
          <w:sz w:val="28"/>
          <w:szCs w:val="28"/>
        </w:rPr>
        <w:t>гиперпаратиреоза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, имеющие определенную клиническую картину.</w:t>
      </w:r>
    </w:p>
    <w:p w:rsidR="00F41335" w:rsidRPr="002A7897" w:rsidRDefault="00F41335" w:rsidP="00F41335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Различают:</w:t>
      </w:r>
    </w:p>
    <w:p w:rsidR="00F41335" w:rsidRPr="002A7897" w:rsidRDefault="00F41335" w:rsidP="00F4133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костную;</w:t>
      </w:r>
    </w:p>
    <w:p w:rsidR="00F41335" w:rsidRPr="002A7897" w:rsidRDefault="00F41335" w:rsidP="00F4133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почечную;</w:t>
      </w:r>
    </w:p>
    <w:p w:rsidR="00F41335" w:rsidRPr="002A7897" w:rsidRDefault="00F41335" w:rsidP="00F4133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желудочно-кишечную;</w:t>
      </w:r>
    </w:p>
    <w:p w:rsidR="00F41335" w:rsidRPr="002A7897" w:rsidRDefault="00F41335" w:rsidP="00F4133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психически-неврологическую формы.</w:t>
      </w:r>
    </w:p>
    <w:p w:rsidR="00F41335" w:rsidRPr="002A7897" w:rsidRDefault="00F41335" w:rsidP="00F41335">
      <w:pPr>
        <w:rPr>
          <w:rFonts w:ascii="Times New Roman" w:hAnsi="Times New Roman" w:cs="Times New Roman"/>
          <w:b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Но для любого проявления болезни характерны </w:t>
      </w:r>
      <w:r w:rsidRPr="002A7897">
        <w:rPr>
          <w:rFonts w:ascii="Times New Roman" w:hAnsi="Times New Roman" w:cs="Times New Roman"/>
          <w:b/>
          <w:sz w:val="28"/>
          <w:szCs w:val="28"/>
        </w:rPr>
        <w:t>ранние симптомы:</w:t>
      </w:r>
    </w:p>
    <w:p w:rsidR="00F41335" w:rsidRPr="002A7897" w:rsidRDefault="00F41335" w:rsidP="00F4133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общая мышечная слабость, выраженная слабость мышц рук и ног; быстрая утомляемость, вялость; больным трудно стоять, сидеть, ходить, подниматься по лестнице, они спотыкаются при ходьбе;</w:t>
      </w:r>
    </w:p>
    <w:p w:rsidR="00F41335" w:rsidRPr="002A7897" w:rsidRDefault="00F41335" w:rsidP="00F4133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lastRenderedPageBreak/>
        <w:t>раскачивающаяся «утиная» походка (больные, как бы переваливаются из стороны в сторону;</w:t>
      </w:r>
    </w:p>
    <w:p w:rsidR="00F41335" w:rsidRPr="002A7897" w:rsidRDefault="00F41335" w:rsidP="00F4133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боли в стопах (возникают в связи развития плоскостопия из-за поражения мышц стопы);</w:t>
      </w:r>
    </w:p>
    <w:p w:rsidR="00F41335" w:rsidRPr="002A7897" w:rsidRDefault="00F41335" w:rsidP="00F4133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выраженная жажда и частое, обильное мочеиспускание (из-за избытка кальция, который блокирует работу гормона, регулирующего мочеиспускание – антидиуретического);</w:t>
      </w:r>
    </w:p>
    <w:p w:rsidR="00F41335" w:rsidRPr="002A7897" w:rsidRDefault="00F41335" w:rsidP="00F4133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расшатывание и выпадение здоровых зубов;</w:t>
      </w:r>
    </w:p>
    <w:p w:rsidR="00F41335" w:rsidRPr="002A7897" w:rsidRDefault="00F41335" w:rsidP="00F4133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значительное похудание (вплоть до истощения).</w:t>
      </w:r>
    </w:p>
    <w:p w:rsidR="00F41335" w:rsidRPr="002A7897" w:rsidRDefault="00F41335" w:rsidP="00F41335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b/>
          <w:sz w:val="28"/>
          <w:szCs w:val="28"/>
        </w:rPr>
        <w:t>Костная форма</w:t>
      </w:r>
      <w:r w:rsidRPr="002A7897">
        <w:rPr>
          <w:rFonts w:ascii="Times New Roman" w:hAnsi="Times New Roman" w:cs="Times New Roman"/>
          <w:i/>
          <w:iCs/>
          <w:sz w:val="28"/>
          <w:szCs w:val="28"/>
        </w:rPr>
        <w:t> х</w:t>
      </w:r>
      <w:r w:rsidRPr="002A7897">
        <w:rPr>
          <w:rFonts w:ascii="Times New Roman" w:hAnsi="Times New Roman" w:cs="Times New Roman"/>
          <w:sz w:val="28"/>
          <w:szCs w:val="28"/>
        </w:rPr>
        <w:t>арактеризуется тремя главными проявлениями – распространенным </w:t>
      </w:r>
      <w:hyperlink r:id="rId8" w:tgtFrame="_blank" w:history="1">
        <w:r w:rsidRPr="002A7897">
          <w:rPr>
            <w:rStyle w:val="a3"/>
            <w:rFonts w:ascii="Times New Roman" w:hAnsi="Times New Roman" w:cs="Times New Roman"/>
            <w:sz w:val="28"/>
            <w:szCs w:val="28"/>
          </w:rPr>
          <w:t>остеопорозом</w:t>
        </w:r>
      </w:hyperlink>
      <w:r w:rsidRPr="002A7897">
        <w:rPr>
          <w:rFonts w:ascii="Times New Roman" w:hAnsi="Times New Roman" w:cs="Times New Roman"/>
          <w:sz w:val="28"/>
          <w:szCs w:val="28"/>
        </w:rPr>
        <w:t> (истончение, искривление и частичное полное рассасывание костной ткани), образованием кист (полость с жидким содержимым) и патологическими переломами. Для данной формы проявления заболевания характерны:</w:t>
      </w:r>
    </w:p>
    <w:p w:rsidR="00F41335" w:rsidRPr="002A7897" w:rsidRDefault="00F41335" w:rsidP="00F4133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боли в костях, особенно в позвоночнике тянущего, ноющего характера, усиливающиеся при физической нагрузке;</w:t>
      </w:r>
    </w:p>
    <w:p w:rsidR="00F41335" w:rsidRPr="002A7897" w:rsidRDefault="00F41335" w:rsidP="00F4133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спонтанные частые переломы при небольших физических нагрузках, после которых образуются ложные суставы (то есть, которых нет в нормальном человеческом организме). Переломам чаще всего подвергаются кости плеча, голени, ребер, шейки бедра;</w:t>
      </w:r>
    </w:p>
    <w:p w:rsidR="00F41335" w:rsidRPr="002A7897" w:rsidRDefault="00F41335" w:rsidP="00F4133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изменения формы различных отделов скелета из-за неправильного сращения переломов;</w:t>
      </w:r>
    </w:p>
    <w:p w:rsidR="00F41335" w:rsidRPr="002A7897" w:rsidRDefault="00F41335" w:rsidP="00F4133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уменьшение роста за счет остеопороза и перелома позвонков;</w:t>
      </w:r>
    </w:p>
    <w:p w:rsidR="00F41335" w:rsidRPr="002A7897" w:rsidRDefault="00F41335" w:rsidP="00F4133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кости более гибкие, утратившие твердость.</w:t>
      </w:r>
    </w:p>
    <w:p w:rsidR="00F41335" w:rsidRPr="002A7897" w:rsidRDefault="00F41335" w:rsidP="00F41335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b/>
          <w:sz w:val="28"/>
          <w:szCs w:val="28"/>
        </w:rPr>
        <w:t>В почках</w:t>
      </w:r>
      <w:r w:rsidRPr="002A7897">
        <w:rPr>
          <w:rFonts w:ascii="Times New Roman" w:hAnsi="Times New Roman" w:cs="Times New Roman"/>
          <w:sz w:val="28"/>
          <w:szCs w:val="28"/>
        </w:rPr>
        <w:t xml:space="preserve"> происходит снижение всасывания кальция, а повышенное его содержание в крови, как известно, тормозит выработку антидиуретического гормона (регулирует функцию мочевыделения), в связи с чем и возникают следующие симптомы: полиурия (частое, обильное мочеиспускание), жажда, образование камней в почках(нефролитиаз), множественное отложение кристаллов солей кальция в почках (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нефрокальциноз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). Он нередко протекает скрыто, при этом наблюдаются боли в пояснице.</w:t>
      </w:r>
    </w:p>
    <w:p w:rsidR="00F41335" w:rsidRPr="002A7897" w:rsidRDefault="00F41335" w:rsidP="00F41335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b/>
          <w:sz w:val="28"/>
          <w:szCs w:val="28"/>
        </w:rPr>
        <w:t>При желудочно-кишечной форме </w:t>
      </w:r>
      <w:proofErr w:type="spellStart"/>
      <w:r w:rsidRPr="002A7897">
        <w:rPr>
          <w:rFonts w:ascii="Times New Roman" w:hAnsi="Times New Roman" w:cs="Times New Roman"/>
          <w:i/>
          <w:iCs/>
          <w:sz w:val="28"/>
          <w:szCs w:val="28"/>
        </w:rPr>
        <w:t>гиперпаратиреоза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 наблюдаются следующие симптомы: тошнота, неоднократная рвота, запоры, вздутие живота, отсутствие аппетита, приводящее к сильному похуданию, нередкое образование язвы 12-перстной кишки с сильно выраженными симптомами и </w:t>
      </w:r>
      <w:r w:rsidRPr="002A7897">
        <w:rPr>
          <w:rFonts w:ascii="Times New Roman" w:hAnsi="Times New Roman" w:cs="Times New Roman"/>
          <w:sz w:val="28"/>
          <w:szCs w:val="28"/>
        </w:rPr>
        <w:lastRenderedPageBreak/>
        <w:t>не заживающая при длительном лечении, возможно развитие острого воспаления поджелудочной железы.</w:t>
      </w:r>
    </w:p>
    <w:p w:rsidR="00F41335" w:rsidRPr="002A7897" w:rsidRDefault="00F41335" w:rsidP="00F41335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Для больных характерны нарушения психической деятельности: быстрая психическая утомляемость, сонливость, снижение умственных способностей, частые депрессивные состояния, при остром протекании заболевания наблюдаются зрительные, слуховые галлюцинации, полная и частичная утрата произвольных движений.</w:t>
      </w:r>
    </w:p>
    <w:p w:rsidR="00F41335" w:rsidRPr="002A7897" w:rsidRDefault="00F41335" w:rsidP="00F41335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Осложнения Г.П.Т. </w:t>
      </w:r>
      <w:r w:rsidRPr="002A7897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2A7897">
        <w:rPr>
          <w:rFonts w:ascii="Times New Roman" w:hAnsi="Times New Roman" w:cs="Times New Roman"/>
          <w:b/>
          <w:bCs/>
          <w:sz w:val="28"/>
          <w:szCs w:val="28"/>
        </w:rPr>
        <w:t>Гиперкальциемический</w:t>
      </w:r>
      <w:proofErr w:type="spellEnd"/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 криз</w:t>
      </w:r>
    </w:p>
    <w:p w:rsidR="00F41335" w:rsidRPr="002A7897" w:rsidRDefault="00F41335" w:rsidP="00F413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Гиперкальциемический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криз развивается при повышении уровня общего кальция в сыворотке </w:t>
      </w:r>
      <w:proofErr w:type="gramStart"/>
      <w:r w:rsidRPr="002A7897">
        <w:rPr>
          <w:rFonts w:ascii="Times New Roman" w:hAnsi="Times New Roman" w:cs="Times New Roman"/>
          <w:sz w:val="28"/>
          <w:szCs w:val="28"/>
        </w:rPr>
        <w:t>крови &gt;</w:t>
      </w:r>
      <w:proofErr w:type="gramEnd"/>
      <w:r w:rsidRPr="002A7897">
        <w:rPr>
          <w:rFonts w:ascii="Times New Roman" w:hAnsi="Times New Roman" w:cs="Times New Roman"/>
          <w:sz w:val="28"/>
          <w:szCs w:val="28"/>
        </w:rPr>
        <w:t xml:space="preserve"> 3,6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/л (&gt; 14 мг%) </w:t>
      </w:r>
    </w:p>
    <w:p w:rsidR="00F41335" w:rsidRPr="002A7897" w:rsidRDefault="00F41335" w:rsidP="00F413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Причины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гиперкальциемического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криза</w:t>
      </w:r>
    </w:p>
    <w:p w:rsidR="00F41335" w:rsidRPr="002A7897" w:rsidRDefault="00F41335" w:rsidP="00F413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Значительное увеличение секреции ПТГ</w:t>
      </w:r>
    </w:p>
    <w:p w:rsidR="00F41335" w:rsidRPr="002A7897" w:rsidRDefault="00F41335" w:rsidP="00F413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Злокачественные опухоли</w:t>
      </w:r>
    </w:p>
    <w:p w:rsidR="00F41335" w:rsidRPr="002A7897" w:rsidRDefault="00F41335" w:rsidP="00F413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Интоксикация витамином Д</w:t>
      </w:r>
    </w:p>
    <w:p w:rsidR="00F41335" w:rsidRPr="002A7897" w:rsidRDefault="00F41335" w:rsidP="00F413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1335" w:rsidRPr="002A7897" w:rsidRDefault="00F41335" w:rsidP="00F413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Патогенез </w:t>
      </w:r>
      <w:proofErr w:type="spellStart"/>
      <w:r w:rsidRPr="002A7897">
        <w:rPr>
          <w:rFonts w:ascii="Times New Roman" w:hAnsi="Times New Roman" w:cs="Times New Roman"/>
          <w:b/>
          <w:bCs/>
          <w:sz w:val="28"/>
          <w:szCs w:val="28"/>
        </w:rPr>
        <w:t>гиперкальциемического</w:t>
      </w:r>
      <w:proofErr w:type="spellEnd"/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 криза </w:t>
      </w:r>
    </w:p>
    <w:p w:rsidR="00F41335" w:rsidRPr="002A7897" w:rsidRDefault="00F41335" w:rsidP="00F4133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Увеличение секреции ПТГ или ПТГ связанного протеина</w:t>
      </w:r>
    </w:p>
    <w:p w:rsidR="00F41335" w:rsidRPr="002A7897" w:rsidRDefault="00F41335" w:rsidP="00F4133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Резкое увеличение резорбции и мобилизации из неё кальция</w:t>
      </w:r>
    </w:p>
    <w:p w:rsidR="00F41335" w:rsidRPr="002A7897" w:rsidRDefault="00F41335" w:rsidP="00F4133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кальция в почке</w:t>
      </w:r>
    </w:p>
    <w:p w:rsidR="00F41335" w:rsidRPr="002A7897" w:rsidRDefault="00F41335" w:rsidP="00F413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Клиника </w:t>
      </w:r>
      <w:proofErr w:type="spellStart"/>
      <w:r w:rsidRPr="002A7897">
        <w:rPr>
          <w:rFonts w:ascii="Times New Roman" w:hAnsi="Times New Roman" w:cs="Times New Roman"/>
          <w:b/>
          <w:bCs/>
          <w:sz w:val="28"/>
          <w:szCs w:val="28"/>
        </w:rPr>
        <w:t>гиперкальциемического</w:t>
      </w:r>
      <w:proofErr w:type="spellEnd"/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 криза</w:t>
      </w:r>
    </w:p>
    <w:p w:rsidR="00F41335" w:rsidRPr="002A7897" w:rsidRDefault="00F41335" w:rsidP="00F41335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b/>
          <w:bCs/>
          <w:sz w:val="28"/>
          <w:szCs w:val="28"/>
        </w:rPr>
        <w:t>Неврологическая симптоматика</w:t>
      </w:r>
    </w:p>
    <w:p w:rsidR="00F41335" w:rsidRPr="002A7897" w:rsidRDefault="00F41335" w:rsidP="00F4133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вялость</w:t>
      </w:r>
    </w:p>
    <w:p w:rsidR="00F41335" w:rsidRPr="002A7897" w:rsidRDefault="00F41335" w:rsidP="00F4133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сонливость</w:t>
      </w:r>
    </w:p>
    <w:p w:rsidR="00F41335" w:rsidRPr="002A7897" w:rsidRDefault="00F41335" w:rsidP="00F4133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прострация</w:t>
      </w:r>
    </w:p>
    <w:p w:rsidR="00F41335" w:rsidRPr="002A7897" w:rsidRDefault="00F41335" w:rsidP="00F4133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сопор</w:t>
      </w:r>
    </w:p>
    <w:p w:rsidR="00F41335" w:rsidRPr="002A7897" w:rsidRDefault="00F41335" w:rsidP="00F4133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кома</w:t>
      </w:r>
    </w:p>
    <w:p w:rsidR="00F41335" w:rsidRPr="002A7897" w:rsidRDefault="00F41335" w:rsidP="00F4133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мышечная слабость</w:t>
      </w:r>
    </w:p>
    <w:p w:rsidR="00F41335" w:rsidRPr="002A7897" w:rsidRDefault="00F41335" w:rsidP="00F413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со стороны ЖКТ </w:t>
      </w:r>
    </w:p>
    <w:p w:rsidR="00F41335" w:rsidRPr="002A7897" w:rsidRDefault="00F41335" w:rsidP="00F4133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анорексия</w:t>
      </w:r>
    </w:p>
    <w:p w:rsidR="00F41335" w:rsidRPr="002A7897" w:rsidRDefault="00F41335" w:rsidP="00F4133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тошнота</w:t>
      </w:r>
    </w:p>
    <w:p w:rsidR="00F41335" w:rsidRPr="002A7897" w:rsidRDefault="00F41335" w:rsidP="00F4133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lastRenderedPageBreak/>
        <w:t>рвота</w:t>
      </w:r>
    </w:p>
    <w:p w:rsidR="00F41335" w:rsidRPr="002A7897" w:rsidRDefault="00F41335" w:rsidP="00F4133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дегидратация</w:t>
      </w:r>
    </w:p>
    <w:p w:rsidR="00F41335" w:rsidRPr="002A7897" w:rsidRDefault="00F41335" w:rsidP="00F41335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b/>
          <w:bCs/>
          <w:sz w:val="28"/>
          <w:szCs w:val="28"/>
        </w:rPr>
        <w:t>Сердечно-сосудистая система</w:t>
      </w:r>
    </w:p>
    <w:p w:rsidR="00F41335" w:rsidRPr="002A7897" w:rsidRDefault="00F41335" w:rsidP="00F413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брадикардия</w:t>
      </w:r>
    </w:p>
    <w:p w:rsidR="00F41335" w:rsidRPr="002A7897" w:rsidRDefault="00F41335" w:rsidP="00F413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асистолия</w:t>
      </w:r>
    </w:p>
    <w:p w:rsidR="00F41335" w:rsidRPr="002A7897" w:rsidRDefault="00F41335" w:rsidP="00F413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укорочение интервала </w:t>
      </w:r>
      <w:r w:rsidRPr="002A7897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2A7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335" w:rsidRPr="002A7897" w:rsidRDefault="00F41335" w:rsidP="00F41335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b/>
          <w:bCs/>
          <w:sz w:val="28"/>
          <w:szCs w:val="28"/>
        </w:rPr>
        <w:t>Нарушения со стороны почек</w:t>
      </w:r>
    </w:p>
    <w:p w:rsidR="00F41335" w:rsidRPr="002A7897" w:rsidRDefault="00F41335" w:rsidP="00F4133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полиурия, полидипсия</w:t>
      </w:r>
    </w:p>
    <w:p w:rsidR="00F41335" w:rsidRPr="002A7897" w:rsidRDefault="00F41335" w:rsidP="00F4133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снижение клубочковой фильтрации</w:t>
      </w:r>
    </w:p>
    <w:p w:rsidR="00987D26" w:rsidRPr="002A7897" w:rsidRDefault="00987D26" w:rsidP="00987D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диагностика </w:t>
      </w:r>
      <w:proofErr w:type="spellStart"/>
      <w:r w:rsidRPr="002A7897">
        <w:rPr>
          <w:rFonts w:ascii="Times New Roman" w:hAnsi="Times New Roman" w:cs="Times New Roman"/>
          <w:b/>
          <w:bCs/>
          <w:sz w:val="28"/>
          <w:szCs w:val="28"/>
        </w:rPr>
        <w:t>гиперкальциемического</w:t>
      </w:r>
      <w:proofErr w:type="spellEnd"/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 криза</w:t>
      </w:r>
    </w:p>
    <w:p w:rsidR="00987D26" w:rsidRPr="002A7897" w:rsidRDefault="00987D26" w:rsidP="00987D2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уровень общего кальция в сыворотке </w:t>
      </w:r>
      <w:proofErr w:type="gramStart"/>
      <w:r w:rsidRPr="002A7897">
        <w:rPr>
          <w:rFonts w:ascii="Times New Roman" w:hAnsi="Times New Roman" w:cs="Times New Roman"/>
          <w:sz w:val="28"/>
          <w:szCs w:val="28"/>
        </w:rPr>
        <w:t>крови &gt;</w:t>
      </w:r>
      <w:proofErr w:type="gramEnd"/>
      <w:r w:rsidRPr="002A7897">
        <w:rPr>
          <w:rFonts w:ascii="Times New Roman" w:hAnsi="Times New Roman" w:cs="Times New Roman"/>
          <w:sz w:val="28"/>
          <w:szCs w:val="28"/>
        </w:rPr>
        <w:t xml:space="preserve"> 3,0 (&gt; 14 мг%)</w:t>
      </w:r>
    </w:p>
    <w:p w:rsidR="00987D26" w:rsidRPr="002A7897" w:rsidRDefault="00987D26" w:rsidP="00987D2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гиперальбуминурии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общий кальций увеличивают на 0,8 мг% на 1 г/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дефицита альбумина. Нормальный уровень альбумина 4 г/дл. Например: альбумин сыворотки </w:t>
      </w:r>
      <w:proofErr w:type="gramStart"/>
      <w:r w:rsidRPr="002A7897">
        <w:rPr>
          <w:rFonts w:ascii="Times New Roman" w:hAnsi="Times New Roman" w:cs="Times New Roman"/>
          <w:sz w:val="28"/>
          <w:szCs w:val="28"/>
        </w:rPr>
        <w:t>3  г</w:t>
      </w:r>
      <w:proofErr w:type="gramEnd"/>
      <w:r w:rsidRPr="002A78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, а общий кальций14,2 мг%. Истинное количество кальция будет 14,2+0,8 = 15 мг%.</w:t>
      </w:r>
    </w:p>
    <w:p w:rsidR="00987D26" w:rsidRPr="002A7897" w:rsidRDefault="00987D26" w:rsidP="00987D26">
      <w:pPr>
        <w:rPr>
          <w:rFonts w:ascii="Times New Roman" w:hAnsi="Times New Roman" w:cs="Times New Roman"/>
          <w:sz w:val="28"/>
          <w:szCs w:val="28"/>
        </w:rPr>
      </w:pPr>
    </w:p>
    <w:p w:rsidR="00987D26" w:rsidRPr="002A7897" w:rsidRDefault="00987D26" w:rsidP="00987D26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987D26" w:rsidRPr="002A7897" w:rsidRDefault="00987D26" w:rsidP="00987D26">
      <w:pPr>
        <w:pStyle w:val="a8"/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Лечение </w:t>
      </w:r>
      <w:proofErr w:type="spellStart"/>
      <w:r w:rsidRPr="002A7897">
        <w:rPr>
          <w:rFonts w:ascii="Times New Roman" w:hAnsi="Times New Roman" w:cs="Times New Roman"/>
          <w:b/>
          <w:bCs/>
          <w:sz w:val="28"/>
          <w:szCs w:val="28"/>
        </w:rPr>
        <w:t>гиперкальциемического</w:t>
      </w:r>
      <w:proofErr w:type="spellEnd"/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 криза.</w:t>
      </w:r>
    </w:p>
    <w:p w:rsidR="00987D26" w:rsidRPr="002A7897" w:rsidRDefault="00987D26" w:rsidP="00987D26">
      <w:pPr>
        <w:pStyle w:val="a8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7897">
        <w:rPr>
          <w:rFonts w:ascii="Times New Roman" w:hAnsi="Times New Roman" w:cs="Times New Roman"/>
          <w:b/>
          <w:bCs/>
          <w:sz w:val="28"/>
          <w:szCs w:val="28"/>
        </w:rPr>
        <w:t>Регидратация</w:t>
      </w:r>
      <w:proofErr w:type="spellEnd"/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789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(0,9% раствор </w:t>
      </w:r>
      <w:proofErr w:type="spellStart"/>
      <w:r w:rsidRPr="002A7897">
        <w:rPr>
          <w:rFonts w:ascii="Times New Roman" w:hAnsi="Times New Roman" w:cs="Times New Roman"/>
          <w:b/>
          <w:bCs/>
          <w:sz w:val="28"/>
          <w:szCs w:val="28"/>
          <w:lang w:val="en-US"/>
        </w:rPr>
        <w:t>NaCl</w:t>
      </w:r>
      <w:proofErr w:type="spellEnd"/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2A7897">
        <w:rPr>
          <w:rFonts w:ascii="Times New Roman" w:hAnsi="Times New Roman" w:cs="Times New Roman"/>
          <w:bCs/>
          <w:sz w:val="28"/>
          <w:szCs w:val="28"/>
        </w:rPr>
        <w:t xml:space="preserve">Физиологический раствор, в/в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капельно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7D26" w:rsidRPr="002A7897" w:rsidRDefault="00987D26" w:rsidP="00987D26">
      <w:pPr>
        <w:pStyle w:val="a8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2A7897">
        <w:rPr>
          <w:rFonts w:ascii="Times New Roman" w:hAnsi="Times New Roman" w:cs="Times New Roman"/>
          <w:bCs/>
          <w:sz w:val="28"/>
          <w:szCs w:val="28"/>
        </w:rPr>
        <w:t>4-</w:t>
      </w:r>
      <w:smartTag w:uri="urn:schemas-microsoft-com:office:smarttags" w:element="metricconverter">
        <w:smartTagPr>
          <w:attr w:name="ProductID" w:val="6 л"/>
        </w:smartTagPr>
        <w:r w:rsidRPr="002A7897">
          <w:rPr>
            <w:rFonts w:ascii="Times New Roman" w:hAnsi="Times New Roman" w:cs="Times New Roman"/>
            <w:bCs/>
            <w:sz w:val="28"/>
            <w:szCs w:val="28"/>
          </w:rPr>
          <w:t>6 л</w:t>
        </w:r>
      </w:smartTag>
      <w:r w:rsidRPr="002A7897">
        <w:rPr>
          <w:rFonts w:ascii="Times New Roman" w:hAnsi="Times New Roman" w:cs="Times New Roman"/>
          <w:bCs/>
          <w:sz w:val="28"/>
          <w:szCs w:val="28"/>
        </w:rPr>
        <w:t xml:space="preserve"> (в течение первого часа от 500 до </w:t>
      </w:r>
    </w:p>
    <w:p w:rsidR="00987D26" w:rsidRPr="002A7897" w:rsidRDefault="00987D26" w:rsidP="00987D26">
      <w:pPr>
        <w:pStyle w:val="a8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2A7897">
        <w:rPr>
          <w:rFonts w:ascii="Times New Roman" w:hAnsi="Times New Roman" w:cs="Times New Roman"/>
          <w:bCs/>
          <w:sz w:val="28"/>
          <w:szCs w:val="28"/>
        </w:rPr>
        <w:t>1000 мл, а затем по 200-300 мл/ч</w:t>
      </w:r>
    </w:p>
    <w:p w:rsidR="00987D26" w:rsidRPr="002A7897" w:rsidRDefault="00987D26" w:rsidP="00987D26">
      <w:pPr>
        <w:pStyle w:val="a8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2A7897">
        <w:rPr>
          <w:rFonts w:ascii="Times New Roman" w:hAnsi="Times New Roman" w:cs="Times New Roman"/>
          <w:b/>
          <w:bCs/>
          <w:sz w:val="28"/>
          <w:szCs w:val="28"/>
        </w:rPr>
        <w:t>Петлевые диуретики</w:t>
      </w:r>
      <w:r w:rsidRPr="002A7897">
        <w:rPr>
          <w:rFonts w:ascii="Times New Roman" w:hAnsi="Times New Roman" w:cs="Times New Roman"/>
          <w:bCs/>
          <w:sz w:val="28"/>
          <w:szCs w:val="28"/>
        </w:rPr>
        <w:t xml:space="preserve"> — фуросемид или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этакриновая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кислота. Тормозят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реабсорбцию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кальция в почках и увеличивают его экскрецию с мочой. Фуросемид в/в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струйно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20-100 мг через каждые 2 ч в течение суток или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этакриновая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кислота в/в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струйно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10-40 мг через каждые 1-2 ч в течение суток </w:t>
      </w:r>
    </w:p>
    <w:p w:rsidR="00987D26" w:rsidRPr="002A7897" w:rsidRDefault="00987D26" w:rsidP="00987D26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A7897">
        <w:rPr>
          <w:rFonts w:ascii="Times New Roman" w:hAnsi="Times New Roman" w:cs="Times New Roman"/>
          <w:b/>
          <w:bCs/>
          <w:sz w:val="28"/>
          <w:szCs w:val="28"/>
        </w:rPr>
        <w:t>Памидронат</w:t>
      </w:r>
      <w:proofErr w:type="spellEnd"/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 —  </w:t>
      </w:r>
    </w:p>
    <w:p w:rsidR="00987D26" w:rsidRPr="002A7897" w:rsidRDefault="00987D26" w:rsidP="00987D26">
      <w:pPr>
        <w:pStyle w:val="a8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2A7897">
        <w:rPr>
          <w:rFonts w:ascii="Times New Roman" w:hAnsi="Times New Roman" w:cs="Times New Roman"/>
          <w:bCs/>
          <w:sz w:val="28"/>
          <w:szCs w:val="28"/>
        </w:rPr>
        <w:t xml:space="preserve">тормозит остеокласты и   уменьшает   поступление   кальция из кости в кровоток - 60-90 мг в 250 мл физиологического раствора вводится в/в каждые 24 ч </w:t>
      </w:r>
    </w:p>
    <w:p w:rsidR="00987D26" w:rsidRPr="002A7897" w:rsidRDefault="00987D26" w:rsidP="00987D26">
      <w:pPr>
        <w:pStyle w:val="a8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7897">
        <w:rPr>
          <w:rFonts w:ascii="Times New Roman" w:hAnsi="Times New Roman" w:cs="Times New Roman"/>
          <w:b/>
          <w:bCs/>
          <w:sz w:val="28"/>
          <w:szCs w:val="28"/>
        </w:rPr>
        <w:t>Кальцитонин</w:t>
      </w:r>
      <w:proofErr w:type="spellEnd"/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A7897">
        <w:rPr>
          <w:rFonts w:ascii="Times New Roman" w:hAnsi="Times New Roman" w:cs="Times New Roman"/>
          <w:bCs/>
          <w:sz w:val="28"/>
          <w:szCs w:val="28"/>
        </w:rPr>
        <w:tab/>
        <w:t>Блокирует резорбцию кости и уменьшает поступление кальция в кровь. 2-4 ЕД/кг веса тела под кожу или в/</w:t>
      </w:r>
      <w:proofErr w:type="gramStart"/>
      <w:r w:rsidRPr="002A7897">
        <w:rPr>
          <w:rFonts w:ascii="Times New Roman" w:hAnsi="Times New Roman" w:cs="Times New Roman"/>
          <w:bCs/>
          <w:sz w:val="28"/>
          <w:szCs w:val="28"/>
        </w:rPr>
        <w:t>в через</w:t>
      </w:r>
      <w:proofErr w:type="gram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каждые 6 ч в течение 2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сут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>. Далее его эффект прекращается.</w:t>
      </w:r>
    </w:p>
    <w:p w:rsidR="00987D26" w:rsidRPr="002A7897" w:rsidRDefault="00987D26" w:rsidP="00987D26">
      <w:pPr>
        <w:pStyle w:val="a8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2A789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Терапия калием, </w:t>
      </w:r>
      <w:r w:rsidRPr="002A7897">
        <w:rPr>
          <w:rFonts w:ascii="Times New Roman" w:hAnsi="Times New Roman" w:cs="Times New Roman"/>
          <w:bCs/>
          <w:sz w:val="28"/>
          <w:szCs w:val="28"/>
        </w:rPr>
        <w:t xml:space="preserve">так как у больных с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гиперкальциемией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увеличивается потеря калия с мочой, усиливающаяся при приеме диуретиков. </w:t>
      </w:r>
      <w:r w:rsidRPr="002A7897">
        <w:rPr>
          <w:rFonts w:ascii="Times New Roman" w:hAnsi="Times New Roman" w:cs="Times New Roman"/>
          <w:bCs/>
          <w:sz w:val="28"/>
          <w:szCs w:val="28"/>
        </w:rPr>
        <w:tab/>
        <w:t>1-</w:t>
      </w:r>
      <w:smartTag w:uri="urn:schemas-microsoft-com:office:smarttags" w:element="metricconverter">
        <w:smartTagPr>
          <w:attr w:name="ProductID" w:val="2 г"/>
        </w:smartTagPr>
        <w:r w:rsidRPr="002A7897">
          <w:rPr>
            <w:rFonts w:ascii="Times New Roman" w:hAnsi="Times New Roman" w:cs="Times New Roman"/>
            <w:bCs/>
            <w:sz w:val="28"/>
            <w:szCs w:val="28"/>
          </w:rPr>
          <w:t>2 г</w:t>
        </w:r>
      </w:smartTag>
      <w:r w:rsidRPr="002A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  <w:lang w:val="en-US"/>
        </w:rPr>
        <w:t>KCl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в 10% или 15% растворе вводится в/в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капельно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в 200-300 мл физиологического рас</w:t>
      </w:r>
      <w:r w:rsidRPr="002A7897">
        <w:rPr>
          <w:rFonts w:ascii="Times New Roman" w:hAnsi="Times New Roman" w:cs="Times New Roman"/>
          <w:bCs/>
          <w:sz w:val="28"/>
          <w:szCs w:val="28"/>
        </w:rPr>
        <w:softHyphen/>
        <w:t xml:space="preserve">твора </w:t>
      </w:r>
    </w:p>
    <w:p w:rsidR="00987D26" w:rsidRPr="002A7897" w:rsidRDefault="00987D26" w:rsidP="00987D26">
      <w:pPr>
        <w:pStyle w:val="a8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7897">
        <w:rPr>
          <w:rFonts w:ascii="Times New Roman" w:hAnsi="Times New Roman" w:cs="Times New Roman"/>
          <w:b/>
          <w:bCs/>
          <w:sz w:val="28"/>
          <w:szCs w:val="28"/>
        </w:rPr>
        <w:t>Пликамицин</w:t>
      </w:r>
      <w:proofErr w:type="spellEnd"/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A7897">
        <w:rPr>
          <w:rFonts w:ascii="Times New Roman" w:hAnsi="Times New Roman" w:cs="Times New Roman"/>
          <w:bCs/>
          <w:sz w:val="28"/>
          <w:szCs w:val="28"/>
        </w:rPr>
        <w:tab/>
        <w:t xml:space="preserve">Противоопухолевый антибиотик, водится в/в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капельно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15-25 мкг/кг в течение 4-24 ч. Вводится только один раз, так как очень токсичен для костного мозга.</w:t>
      </w:r>
    </w:p>
    <w:p w:rsidR="00987D26" w:rsidRPr="002A7897" w:rsidRDefault="00987D26" w:rsidP="00987D26">
      <w:pPr>
        <w:pStyle w:val="a8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2A7897">
        <w:rPr>
          <w:rFonts w:ascii="Times New Roman" w:hAnsi="Times New Roman" w:cs="Times New Roman"/>
          <w:b/>
          <w:bCs/>
          <w:sz w:val="28"/>
          <w:szCs w:val="28"/>
        </w:rPr>
        <w:t>Нейтральный фосфат-«буфер».</w:t>
      </w:r>
      <w:r w:rsidRPr="002A7897">
        <w:rPr>
          <w:rFonts w:ascii="Times New Roman" w:hAnsi="Times New Roman" w:cs="Times New Roman"/>
          <w:bCs/>
          <w:sz w:val="28"/>
          <w:szCs w:val="28"/>
        </w:rPr>
        <w:t xml:space="preserve"> Снижает активность остеокластов и уровень кальция в крови. Назначается на следующий день после введения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пликамицина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по 15 мг в/в ежедневно до сниже</w:t>
      </w:r>
      <w:r w:rsidRPr="002A7897">
        <w:rPr>
          <w:rFonts w:ascii="Times New Roman" w:hAnsi="Times New Roman" w:cs="Times New Roman"/>
          <w:bCs/>
          <w:sz w:val="28"/>
          <w:szCs w:val="28"/>
        </w:rPr>
        <w:softHyphen/>
        <w:t xml:space="preserve">ния уровня кальция в крови </w:t>
      </w:r>
      <w:proofErr w:type="gramStart"/>
      <w:r w:rsidRPr="002A7897">
        <w:rPr>
          <w:rFonts w:ascii="Times New Roman" w:hAnsi="Times New Roman" w:cs="Times New Roman"/>
          <w:bCs/>
          <w:sz w:val="28"/>
          <w:szCs w:val="28"/>
        </w:rPr>
        <w:t>&lt; 12</w:t>
      </w:r>
      <w:proofErr w:type="gram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-13 мг/дл. </w:t>
      </w:r>
    </w:p>
    <w:p w:rsidR="00987D26" w:rsidRPr="002A7897" w:rsidRDefault="00987D26" w:rsidP="00987D26">
      <w:pPr>
        <w:pStyle w:val="a8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2A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7897">
        <w:rPr>
          <w:rFonts w:ascii="Times New Roman" w:hAnsi="Times New Roman" w:cs="Times New Roman"/>
          <w:b/>
          <w:bCs/>
          <w:sz w:val="28"/>
          <w:szCs w:val="28"/>
        </w:rPr>
        <w:t xml:space="preserve">Фосфат. </w:t>
      </w:r>
      <w:r w:rsidRPr="002A7897">
        <w:rPr>
          <w:rFonts w:ascii="Times New Roman" w:hAnsi="Times New Roman" w:cs="Times New Roman"/>
          <w:bCs/>
          <w:sz w:val="28"/>
          <w:szCs w:val="28"/>
        </w:rPr>
        <w:t xml:space="preserve">Действует так же, как </w:t>
      </w:r>
      <w:proofErr w:type="gramStart"/>
      <w:r w:rsidRPr="002A7897">
        <w:rPr>
          <w:rFonts w:ascii="Times New Roman" w:hAnsi="Times New Roman" w:cs="Times New Roman"/>
          <w:bCs/>
          <w:sz w:val="28"/>
          <w:szCs w:val="28"/>
        </w:rPr>
        <w:t>нейтральный  фосфат</w:t>
      </w:r>
      <w:proofErr w:type="gram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-«буфер», но более мягко. </w:t>
      </w:r>
    </w:p>
    <w:p w:rsidR="00987D26" w:rsidRPr="002A7897" w:rsidRDefault="00987D26" w:rsidP="00987D26">
      <w:pPr>
        <w:pStyle w:val="a8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2A789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smartTag w:uri="urn:schemas-microsoft-com:office:smarttags" w:element="metricconverter">
        <w:smartTagPr>
          <w:attr w:name="ProductID" w:val="5 г"/>
        </w:smartTagPr>
        <w:r w:rsidRPr="002A7897">
          <w:rPr>
            <w:rFonts w:ascii="Times New Roman" w:hAnsi="Times New Roman" w:cs="Times New Roman"/>
            <w:bCs/>
            <w:sz w:val="28"/>
            <w:szCs w:val="28"/>
          </w:rPr>
          <w:t>5 г</w:t>
        </w:r>
      </w:smartTag>
      <w:r w:rsidRPr="002A7897">
        <w:rPr>
          <w:rFonts w:ascii="Times New Roman" w:hAnsi="Times New Roman" w:cs="Times New Roman"/>
          <w:bCs/>
          <w:sz w:val="28"/>
          <w:szCs w:val="28"/>
        </w:rPr>
        <w:t xml:space="preserve"> через 8 ч внутрь. Побочный эффект — может быть </w:t>
      </w:r>
      <w:proofErr w:type="gramStart"/>
      <w:r w:rsidRPr="002A7897">
        <w:rPr>
          <w:rFonts w:ascii="Times New Roman" w:hAnsi="Times New Roman" w:cs="Times New Roman"/>
          <w:bCs/>
          <w:sz w:val="28"/>
          <w:szCs w:val="28"/>
        </w:rPr>
        <w:t>диарея .</w:t>
      </w:r>
      <w:proofErr w:type="gramEnd"/>
    </w:p>
    <w:p w:rsidR="00987D26" w:rsidRPr="002A7897" w:rsidRDefault="00987D26" w:rsidP="00987D2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87D26" w:rsidRPr="002A7897" w:rsidRDefault="00987D26" w:rsidP="00987D2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0E32" w:rsidRPr="002A7897" w:rsidRDefault="00120E32" w:rsidP="00120E32">
      <w:pPr>
        <w:rPr>
          <w:rFonts w:ascii="Times New Roman" w:hAnsi="Times New Roman" w:cs="Times New Roman"/>
          <w:sz w:val="28"/>
          <w:szCs w:val="28"/>
        </w:rPr>
      </w:pPr>
    </w:p>
    <w:p w:rsidR="00120E32" w:rsidRPr="002A7897" w:rsidRDefault="00120E32" w:rsidP="00120E32">
      <w:pPr>
        <w:rPr>
          <w:rFonts w:ascii="Times New Roman" w:hAnsi="Times New Roman" w:cs="Times New Roman"/>
          <w:b/>
          <w:sz w:val="28"/>
          <w:szCs w:val="28"/>
        </w:rPr>
      </w:pPr>
      <w:r w:rsidRPr="002A7897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987D26" w:rsidRPr="002A7897">
        <w:rPr>
          <w:rFonts w:ascii="Times New Roman" w:hAnsi="Times New Roman" w:cs="Times New Roman"/>
          <w:b/>
          <w:sz w:val="28"/>
          <w:szCs w:val="28"/>
        </w:rPr>
        <w:t>.</w:t>
      </w:r>
    </w:p>
    <w:p w:rsidR="00120E32" w:rsidRPr="002A7897" w:rsidRDefault="00120E32" w:rsidP="00120E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Физикальный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7897">
        <w:rPr>
          <w:rFonts w:ascii="Times New Roman" w:hAnsi="Times New Roman" w:cs="Times New Roman"/>
          <w:sz w:val="28"/>
          <w:szCs w:val="28"/>
        </w:rPr>
        <w:t>осмотр :</w:t>
      </w:r>
      <w:proofErr w:type="gramEnd"/>
    </w:p>
    <w:p w:rsidR="00DB1DF3" w:rsidRPr="002A7897" w:rsidRDefault="00120E32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Общий осмотр подразумевает оценку общего физического состояния, роста и массы тела. При осмотре у пациентов с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гиперпаратиреозом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нередко можно отметить атрофию мышц, формирование «утиной походки». Следует обратить внимание на деформации скелета, наличие костных разрастаний в области лицевой части черепа, крупных суставов, трубчатых костей. При тяжелом повреждении почек и развитии ХПН может наблюдаться бледность кожных покровов (с серым оттенком).</w:t>
      </w:r>
      <w:r w:rsidR="00DB1DF3" w:rsidRPr="002A7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Лабораторная диагностика.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Диагноз ПГПТ основывается только на данных лабораторного обследования!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Диагноз ПГПТ можно считать подтвержденным при наличии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гиперкальциемии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сочетании со стойким повышением уровня ПТГ (исключив третичный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,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см. дифференциальная диагностика), при этом, уровень ПТГ на верхней границе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референсного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интервала, но не выходящий за его пределы, при наличии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гиперкальциемии</w:t>
      </w:r>
      <w:proofErr w:type="spellEnd"/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lastRenderedPageBreak/>
        <w:t>также соответствует диагнозу ПГПТ [1,2,25-29]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Диагноз мягкой формы ПГПТ может быть установлен при соответствии следующим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критериям: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 уровень общего кальция крови не более чем на 1 мг/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(0,25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/л) выше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верхней границы нормы, принятой в конкретной лаборатории;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 отсутствие висцеральных проявлений ПГПТ;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 снижение МПК не более чем на 2,5 стандартных отклонения от нормативных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значений МПК молодых людей (по Т-критерию) в любой измеренной области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скелета (поясничные позвонки, проксимальные отделы бедренной кости,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средняя треть лучевой кости) или по Z-критерию у мужчин моложе 50 лет и у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женщин до менопаузы;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 отсутствие в анамнезе указаний на патологические переломы.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Для постановки диагноза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нормокальциемического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варианта ПГПТ необходимо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исключить следующие состояния: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1. Дефицит витамина D. Для подавления избыточной секреции ПТГ значение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уровня 25ОНD должно составлять более 30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/мл (75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нмоль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/л). (Иногда у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пациентов после достижения уровня 25ОНD более 30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/мл начинает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выявляться истинная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гиперкальциемия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. В данном случае следует пересмотреть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диагноз в пользу классических форм ПГПТ, которые были «замаскированы»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дефицитом витамина D).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2. Снижение СКФ менее 60 мл/мин/1,73 м2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. Проведение пробы с активным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метаболитом витамина D для исключения вторичного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гиперпаратиреоза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.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3. Прием препаратов, влияющих на кальциевый </w:t>
      </w:r>
      <w:proofErr w:type="gramStart"/>
      <w:r w:rsidRPr="002A7897">
        <w:rPr>
          <w:rFonts w:ascii="Times New Roman" w:hAnsi="Times New Roman" w:cs="Times New Roman"/>
          <w:sz w:val="28"/>
          <w:szCs w:val="28"/>
        </w:rPr>
        <w:t>обмен..</w:t>
      </w:r>
      <w:proofErr w:type="gramEnd"/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lastRenderedPageBreak/>
        <w:t xml:space="preserve">4. Синдром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мальабсорбции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(например, при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целиакии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).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5. Алиментарный дефицит кальция, магния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Диагноз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нормокальциемического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варианта ПГПТ может быть соответствовать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критериям: постоянно нормальные показатели общего и ионизированного кальция за весь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период наблюдения при повышенном уровне ПТГ.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 Рекомендовано определение уровня общего кальция и/или ионизированного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кальция сыворотки крови пациентам, имеющим одно или несколько из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следующих клинических состояний и/или признаков: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1. хронические боли в костях верхних и нижних конечностях,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усиливающиеся при надавливании;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2. патологические (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низкотравматичные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) переломы, особенно ребер, костей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таза, нижних конечностей;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3. деформации скелета: «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килевидная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» грудная клетка, изменение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7897">
        <w:rPr>
          <w:rFonts w:ascii="Times New Roman" w:hAnsi="Times New Roman" w:cs="Times New Roman"/>
          <w:sz w:val="28"/>
          <w:szCs w:val="28"/>
        </w:rPr>
        <w:t>архитек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-тоники</w:t>
      </w:r>
      <w:proofErr w:type="gramEnd"/>
      <w:r w:rsidRPr="002A7897">
        <w:rPr>
          <w:rFonts w:ascii="Times New Roman" w:hAnsi="Times New Roman" w:cs="Times New Roman"/>
          <w:sz w:val="28"/>
          <w:szCs w:val="28"/>
        </w:rPr>
        <w:t xml:space="preserve"> тазовой области с формированием «утиной» походки,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разрастания костной ткани и т.п.;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4. признаки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гиперпаратиреоидной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остеодистрофии при рентгенографии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костей (костные кисты, подозрение на костные опухоли, эпулиды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нижней или верхней челюсти,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субпериостальная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резорбция концевых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фаланг);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5. снижение МПК при проведении рентгеновской денситометрии до уровня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остеопороза, в том числе с максимальной потерей кортикальной ткани в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лучевой кости, бедренной кости в целом;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кальцинаты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мягких </w:t>
      </w:r>
      <w:proofErr w:type="gramStart"/>
      <w:r w:rsidRPr="002A7897">
        <w:rPr>
          <w:rFonts w:ascii="Times New Roman" w:hAnsi="Times New Roman" w:cs="Times New Roman"/>
          <w:sz w:val="28"/>
          <w:szCs w:val="28"/>
        </w:rPr>
        <w:t>тканей ;</w:t>
      </w:r>
      <w:proofErr w:type="gramEnd"/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7. мышечную слабость, проксимальную миопатию;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lastRenderedPageBreak/>
        <w:t xml:space="preserve">8. нефролитиаз, особенно рецидивирующий,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нефрокальциноз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;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инсипидарный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синдром (полиурия/полидипсия, не обусловленная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сахарным или несахарным диабетом);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A7897">
        <w:rPr>
          <w:rFonts w:ascii="Times New Roman" w:hAnsi="Times New Roman" w:cs="Times New Roman"/>
          <w:sz w:val="28"/>
          <w:szCs w:val="28"/>
        </w:rPr>
        <w:t>ре-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цидивирующая</w:t>
      </w:r>
      <w:proofErr w:type="spellEnd"/>
      <w:proofErr w:type="gramEnd"/>
      <w:r w:rsidRPr="002A7897">
        <w:rPr>
          <w:rFonts w:ascii="Times New Roman" w:hAnsi="Times New Roman" w:cs="Times New Roman"/>
          <w:sz w:val="28"/>
          <w:szCs w:val="28"/>
        </w:rPr>
        <w:t xml:space="preserve"> язвенная болезнь желудка или двенадцатиперстной</w:t>
      </w:r>
    </w:p>
    <w:p w:rsidR="00DB1DF3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кишки.</w:t>
      </w:r>
    </w:p>
    <w:p w:rsidR="00120E32" w:rsidRPr="002A7897" w:rsidRDefault="00DB1DF3" w:rsidP="00DB1DF3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При подозрении на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у пациентов обязательно исследуется уровень кальция крови, при этом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гиперкальциемия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должна быть подтверждена более чем в одном измерении, прежде чем больному будет назначено расширенное обследование. Повышенный уровень общего кальция может быть при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гемоконцентрации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, например, при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гиперальбуминемии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, при этом уровень ионизированного кальция остается в норме [5]. У большей части пациентов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гиперкальциемия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диагностируется поздно, поскольку определение содержания кальция не входит в обязательное рутинное обследование. Это нередко приводит к выявлению болезни на стадии тяжелых осложнений. Чтобы исключить ложноотрицательные или ложноположительные результаты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кальциемии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при изменении концентрации плазменных белков, требуется корректировка кальция на уровень альбумина крови. Формулы для расчета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скоректированного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кальция: </w:t>
      </w:r>
      <w:r w:rsidRPr="002A78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7897">
        <w:rPr>
          <w:rFonts w:ascii="Times New Roman" w:hAnsi="Times New Roman" w:cs="Times New Roman"/>
          <w:sz w:val="28"/>
          <w:szCs w:val="28"/>
        </w:rPr>
        <w:t xml:space="preserve"> Общий кальций плазмы (с поправкой) (мг/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) = измеренный уровень кальция плазмы (мг/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) + 0.8 х (4 - измеренный уровень альбумина плазмы (г/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)) </w:t>
      </w:r>
      <w:r w:rsidRPr="002A78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7897">
        <w:rPr>
          <w:rFonts w:ascii="Times New Roman" w:hAnsi="Times New Roman" w:cs="Times New Roman"/>
          <w:sz w:val="28"/>
          <w:szCs w:val="28"/>
        </w:rPr>
        <w:t xml:space="preserve"> Общий кальций плазмы (с поправкой) (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/л) = измеренный уровень кальция плазмы (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/л) + 0.02 х (40 - измеренный уровень альбумина плазмы (г/л)) [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Dickerson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RN, 2004] </w:t>
      </w:r>
      <w:r w:rsidRPr="002A78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7897">
        <w:rPr>
          <w:rFonts w:ascii="Times New Roman" w:hAnsi="Times New Roman" w:cs="Times New Roman"/>
          <w:sz w:val="28"/>
          <w:szCs w:val="28"/>
        </w:rPr>
        <w:t xml:space="preserve"> Коэффициент пересчёта: [кальций] мг/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х 0,25 ==&gt; [кальций]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/л Ложноотрицательных результатов можно также избежать путем определения ионизированного кальция (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++). Этот показатель менее вариабельный, однако, для его определения необходимо специальное оборудование - анализатор с использованием ион-селективных электродов. Правильность определения уровня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++ зависит от технического состояния и калибровки аппаратуры, а также от учета влияния на концентрацию кальция уровня рН крови. Кислотно-щелочное состояние влияет на содержание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++ в крови путем воздействия на процесс связывания кальция с белками. Ацидоз уменьшает связывание кальция с белками крови и ведет к увеличению уровня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++, в то время, как алкалоз усиливает процесс связывания кальция с протеинами и уменьшает его уровень. Эта корректировка заложена в программу современных анализаторов, однако в более ранних моделях не использовалась</w:t>
      </w:r>
    </w:p>
    <w:p w:rsidR="00F41335" w:rsidRPr="002A7897" w:rsidRDefault="00F41335" w:rsidP="00F413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0E32" w:rsidRPr="002A7897" w:rsidRDefault="00120E32" w:rsidP="00987D26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Инструментальная диагностика.</w:t>
      </w:r>
    </w:p>
    <w:p w:rsidR="00120E32" w:rsidRPr="002A7897" w:rsidRDefault="00120E32" w:rsidP="00987D26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lastRenderedPageBreak/>
        <w:t>-Проведение ультразвукового исследования околощитовидных желез рекомендуется в качестве первого этапа визуализации при ПГПТ.</w:t>
      </w:r>
    </w:p>
    <w:p w:rsidR="00120E32" w:rsidRPr="002A7897" w:rsidRDefault="00120E32" w:rsidP="00987D26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- В случае отсутствия четкой визуализации образования ОЩЖ, малых размерах образования (менее 1,0 см), рекомендовано проведение дополнительных визуализирующих методов исследования: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сцинтиграфии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, компьютерной томографии шеи и средостения с контрастным усилением.</w:t>
      </w:r>
    </w:p>
    <w:p w:rsidR="00120E32" w:rsidRPr="002A7897" w:rsidRDefault="00120E32" w:rsidP="00987D26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- Применение позитронно-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эмисионной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томографии (ПЭТ) рекомендуется в отдельных случаях у пациентов с персистенцией заболевания или с рецидивом ПГПТ при отсутствии визуализации ОЩЖ с помощью других методов.</w:t>
      </w:r>
    </w:p>
    <w:p w:rsidR="00120E32" w:rsidRPr="002A7897" w:rsidRDefault="0073282B" w:rsidP="00987D26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Для определения спектра и тяжести костных нарушений на фоне ПГПТ рекомендуется проведение комплексного обследования, включающее в себя количественную оценку минеральной плотности кости с помощью рентгеновской денситометрии, рентгенологическую оценку целостности скелета при подозрении на переломы. </w:t>
      </w:r>
    </w:p>
    <w:p w:rsidR="0073282B" w:rsidRPr="002A7897" w:rsidRDefault="0073282B" w:rsidP="00120E32">
      <w:pPr>
        <w:ind w:left="720"/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b/>
          <w:sz w:val="28"/>
          <w:szCs w:val="28"/>
        </w:rPr>
        <w:t>Дифференциальная диагностика</w:t>
      </w:r>
      <w:r w:rsidRPr="002A7897">
        <w:rPr>
          <w:rFonts w:ascii="Times New Roman" w:hAnsi="Times New Roman" w:cs="Times New Roman"/>
          <w:sz w:val="28"/>
          <w:szCs w:val="28"/>
        </w:rPr>
        <w:t>.</w:t>
      </w:r>
    </w:p>
    <w:p w:rsidR="00F41335" w:rsidRPr="002A7897" w:rsidRDefault="0073282B" w:rsidP="00F41335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Целью дифференциальной диагностики ПГПТ с другими состояниями, сопровождаемыми повышением уровня кальция, является определение причины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гиперкальциемии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, что позволило бы назначить соответствующее лечение, направленное на ликвидацию первичного заболевания. У некоторых больных угрозу для жизни представляет само повышение сывороточной концентрации кальция, которое требует немедленной коррекции. В этой ситуации необходимо как можно раньше определить причину, лежащую в основе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гиперкальциемии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, а также начать соответствующее лечение. Первым шагом в дифференциальной диагностике является сбор полного и детального анамнеза, во время которого обращают особое внимание на известные симптомы, связанные с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гиперкальциемией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. Наиболее распространенными причинами бессимптомной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гиперкальциемии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являются первичный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и применение различных лекарственных препаратов. В числе последних диуретики из группы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тиазидов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и производные витамина D. Бессимптомная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гиперкальциемия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может быть постоянным или случайно обнаруженным проявлением «скрытых» новообразований или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саркоидоза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. Для последнего, однако, характерны определенные клинические признаки. Редкую причину бессимптомной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гиперкальциемии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, которую обычно обнаруживают случайно, представляет семейная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гипокальциурическая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гиперкальциемия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C76" w:rsidRPr="002A7897" w:rsidRDefault="006A0C76" w:rsidP="00F413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7897">
        <w:rPr>
          <w:rFonts w:ascii="Times New Roman" w:hAnsi="Times New Roman" w:cs="Times New Roman"/>
          <w:b/>
          <w:bCs/>
          <w:sz w:val="28"/>
          <w:szCs w:val="28"/>
        </w:rPr>
        <w:t>Лечение.</w:t>
      </w:r>
    </w:p>
    <w:p w:rsidR="006A0C76" w:rsidRPr="002A7897" w:rsidRDefault="006A0C76" w:rsidP="00F41335">
      <w:pPr>
        <w:rPr>
          <w:rFonts w:ascii="Times New Roman" w:hAnsi="Times New Roman" w:cs="Times New Roman"/>
          <w:bCs/>
          <w:sz w:val="28"/>
          <w:szCs w:val="28"/>
        </w:rPr>
      </w:pPr>
      <w:r w:rsidRPr="002A789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Хирургическое лечение является самым радикальным и эффективным методом лечения ПГПТ </w:t>
      </w:r>
    </w:p>
    <w:p w:rsidR="006A0C76" w:rsidRPr="002A7897" w:rsidRDefault="006A0C76" w:rsidP="00F41335">
      <w:pPr>
        <w:rPr>
          <w:rFonts w:ascii="Times New Roman" w:hAnsi="Times New Roman" w:cs="Times New Roman"/>
          <w:bCs/>
          <w:sz w:val="28"/>
          <w:szCs w:val="28"/>
        </w:rPr>
      </w:pPr>
      <w:r w:rsidRPr="002A7897">
        <w:rPr>
          <w:rFonts w:ascii="Times New Roman" w:hAnsi="Times New Roman" w:cs="Times New Roman"/>
          <w:bCs/>
          <w:sz w:val="28"/>
          <w:szCs w:val="28"/>
        </w:rPr>
        <w:t>Абсолютными показаниями к хирургическому лечению ПГПТ являются:</w:t>
      </w:r>
    </w:p>
    <w:p w:rsidR="006A0C76" w:rsidRPr="002A7897" w:rsidRDefault="006A0C76" w:rsidP="00F41335">
      <w:pPr>
        <w:rPr>
          <w:rFonts w:ascii="Times New Roman" w:hAnsi="Times New Roman" w:cs="Times New Roman"/>
          <w:bCs/>
          <w:sz w:val="28"/>
          <w:szCs w:val="28"/>
        </w:rPr>
      </w:pPr>
      <w:r w:rsidRPr="002A7897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концентрация общего кальция в сыворотке крови на 0,25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ммоль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/л (1 мг%) превышающая норму, установленную в данной лаборатории; </w:t>
      </w:r>
      <w:r w:rsidRPr="002A7897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2A7897">
        <w:rPr>
          <w:rFonts w:ascii="Times New Roman" w:hAnsi="Times New Roman" w:cs="Times New Roman"/>
          <w:bCs/>
          <w:sz w:val="28"/>
          <w:szCs w:val="28"/>
        </w:rPr>
        <w:t xml:space="preserve"> снижение скорости клубочковой фильтрации менее 60 мл/мин/1,73м2 ; </w:t>
      </w:r>
      <w:r w:rsidRPr="002A7897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висцеральные проявления ПГПТ; </w:t>
      </w:r>
      <w:r w:rsidRPr="002A7897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2A7897">
        <w:rPr>
          <w:rFonts w:ascii="Times New Roman" w:hAnsi="Times New Roman" w:cs="Times New Roman"/>
          <w:bCs/>
          <w:sz w:val="28"/>
          <w:szCs w:val="28"/>
        </w:rPr>
        <w:t xml:space="preserve"> суточная экскреция кальция более 400 мг (10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ммоль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) в сутки; </w:t>
      </w:r>
      <w:r w:rsidRPr="002A7897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2A7897">
        <w:rPr>
          <w:rFonts w:ascii="Times New Roman" w:hAnsi="Times New Roman" w:cs="Times New Roman"/>
          <w:bCs/>
          <w:sz w:val="28"/>
          <w:szCs w:val="28"/>
        </w:rPr>
        <w:t xml:space="preserve"> снижение МПК в лучевой, бедренных костях или в позвонках менее -2,5 SD по Т-критерию; </w:t>
      </w:r>
      <w:r w:rsidRPr="002A7897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2A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низкотравматичные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переломы в анамнезе и/или рентгенологически выявленные переломы тел позвонков (также по данным МСКТ или МРТ); </w:t>
      </w:r>
      <w:r w:rsidRPr="002A7897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возраст менее 50 лет.</w:t>
      </w:r>
    </w:p>
    <w:p w:rsidR="006A0C76" w:rsidRPr="002A7897" w:rsidRDefault="006A0C76" w:rsidP="006A0C76">
      <w:pPr>
        <w:rPr>
          <w:rFonts w:ascii="Times New Roman" w:hAnsi="Times New Roman" w:cs="Times New Roman"/>
          <w:bCs/>
          <w:sz w:val="28"/>
          <w:szCs w:val="28"/>
        </w:rPr>
      </w:pPr>
      <w:r w:rsidRPr="002A7897">
        <w:rPr>
          <w:rFonts w:ascii="Times New Roman" w:hAnsi="Times New Roman" w:cs="Times New Roman"/>
          <w:bCs/>
          <w:sz w:val="28"/>
          <w:szCs w:val="28"/>
        </w:rPr>
        <w:t xml:space="preserve">Для оценки радикальности проведения хирургического лечения рекомендуется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интраоперационное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определение ПТГ сыворотки крови до и через 10-15 минут после удаления образования.</w:t>
      </w:r>
    </w:p>
    <w:p w:rsidR="006A0C76" w:rsidRPr="002A7897" w:rsidRDefault="006A0C76" w:rsidP="006A0C76">
      <w:pPr>
        <w:rPr>
          <w:rFonts w:ascii="Times New Roman" w:hAnsi="Times New Roman" w:cs="Times New Roman"/>
          <w:bCs/>
          <w:sz w:val="28"/>
          <w:szCs w:val="28"/>
        </w:rPr>
      </w:pPr>
      <w:r w:rsidRPr="002A7897">
        <w:rPr>
          <w:rFonts w:ascii="Times New Roman" w:hAnsi="Times New Roman" w:cs="Times New Roman"/>
          <w:bCs/>
          <w:sz w:val="28"/>
          <w:szCs w:val="28"/>
        </w:rPr>
        <w:t>Консервативное лечение.</w:t>
      </w:r>
    </w:p>
    <w:p w:rsidR="006A0C76" w:rsidRPr="002A7897" w:rsidRDefault="006A0C76" w:rsidP="006A0C76">
      <w:pPr>
        <w:rPr>
          <w:rFonts w:ascii="Times New Roman" w:hAnsi="Times New Roman" w:cs="Times New Roman"/>
          <w:bCs/>
          <w:sz w:val="28"/>
          <w:szCs w:val="28"/>
        </w:rPr>
      </w:pPr>
      <w:r w:rsidRPr="002A7897">
        <w:rPr>
          <w:rFonts w:ascii="Times New Roman" w:hAnsi="Times New Roman" w:cs="Times New Roman"/>
          <w:bCs/>
          <w:sz w:val="28"/>
          <w:szCs w:val="28"/>
        </w:rPr>
        <w:t>Всем пациентам рекомендуется диета с ограничением употребления кальция до 800–1000 мг/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сут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и увеличением потребления жидкости до 1,5–2,0 л [1,2</w:t>
      </w:r>
    </w:p>
    <w:p w:rsidR="001C5C2B" w:rsidRDefault="006A0C76" w:rsidP="001C5C2B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при отсутствии показаний к оперативному лечению в случае выявления мягкой формы ПГПТ рекомендуется консервативное ведение пациентов c регулярным контролем следующих параметров: o уровень кальция в крови – 2-4 раза в год; o уровень </w:t>
      </w: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креатинина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в крови, расчет СКФ– 1 раз в 6 месяцев; o уровень ПТГ – 1 раз в 6 месяцев; o суточная экскреция кальция с мочой – 1 раз в 6 мес.; o УЗИ почек 1 раз в год, при необходимости проведение КТ; o измерение МПК в указанных выше трех точках один раз в 1 год. Боковые рентгенограммы позвоночника при подозрении на переломы тел позвонков </w:t>
      </w:r>
    </w:p>
    <w:p w:rsidR="002A7897" w:rsidRDefault="002A7897" w:rsidP="001C5C2B">
      <w:pPr>
        <w:rPr>
          <w:rFonts w:ascii="Times New Roman" w:hAnsi="Times New Roman" w:cs="Times New Roman"/>
          <w:sz w:val="28"/>
          <w:szCs w:val="28"/>
        </w:rPr>
      </w:pPr>
    </w:p>
    <w:p w:rsidR="002A7897" w:rsidRDefault="002A7897" w:rsidP="001C5C2B">
      <w:pPr>
        <w:rPr>
          <w:rFonts w:ascii="Times New Roman" w:hAnsi="Times New Roman" w:cs="Times New Roman"/>
          <w:sz w:val="28"/>
          <w:szCs w:val="28"/>
        </w:rPr>
      </w:pPr>
    </w:p>
    <w:p w:rsidR="002A7897" w:rsidRDefault="002A7897" w:rsidP="001C5C2B">
      <w:pPr>
        <w:rPr>
          <w:rFonts w:ascii="Times New Roman" w:hAnsi="Times New Roman" w:cs="Times New Roman"/>
          <w:sz w:val="28"/>
          <w:szCs w:val="28"/>
        </w:rPr>
      </w:pPr>
    </w:p>
    <w:p w:rsidR="002A7897" w:rsidRDefault="002A7897" w:rsidP="001C5C2B">
      <w:pPr>
        <w:rPr>
          <w:rFonts w:ascii="Times New Roman" w:hAnsi="Times New Roman" w:cs="Times New Roman"/>
          <w:sz w:val="28"/>
          <w:szCs w:val="28"/>
        </w:rPr>
      </w:pPr>
    </w:p>
    <w:p w:rsidR="002A7897" w:rsidRDefault="002A7897" w:rsidP="001C5C2B">
      <w:pPr>
        <w:rPr>
          <w:rFonts w:ascii="Times New Roman" w:hAnsi="Times New Roman" w:cs="Times New Roman"/>
          <w:sz w:val="28"/>
          <w:szCs w:val="28"/>
        </w:rPr>
      </w:pPr>
    </w:p>
    <w:p w:rsidR="002A7897" w:rsidRDefault="002A7897" w:rsidP="001C5C2B">
      <w:pPr>
        <w:rPr>
          <w:rFonts w:ascii="Times New Roman" w:hAnsi="Times New Roman" w:cs="Times New Roman"/>
          <w:sz w:val="28"/>
          <w:szCs w:val="28"/>
        </w:rPr>
      </w:pPr>
    </w:p>
    <w:p w:rsidR="002A7897" w:rsidRDefault="002A7897" w:rsidP="001C5C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7897" w:rsidRDefault="002A7897" w:rsidP="001C5C2B">
      <w:pPr>
        <w:rPr>
          <w:rFonts w:ascii="Times New Roman" w:hAnsi="Times New Roman" w:cs="Times New Roman"/>
          <w:sz w:val="28"/>
          <w:szCs w:val="28"/>
        </w:rPr>
      </w:pPr>
    </w:p>
    <w:p w:rsidR="002A7897" w:rsidRPr="002A7897" w:rsidRDefault="002A7897" w:rsidP="001C5C2B">
      <w:pPr>
        <w:rPr>
          <w:rFonts w:ascii="Times New Roman" w:hAnsi="Times New Roman" w:cs="Times New Roman"/>
          <w:sz w:val="28"/>
          <w:szCs w:val="28"/>
        </w:rPr>
      </w:pPr>
    </w:p>
    <w:p w:rsidR="001C5C2B" w:rsidRPr="002A7897" w:rsidRDefault="001C5C2B" w:rsidP="001C5C2B">
      <w:p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1C5C2B" w:rsidRPr="002A7897" w:rsidRDefault="001C5C2B" w:rsidP="001C5C2B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Клинические рекомендации </w:t>
      </w:r>
      <w:proofErr w:type="gramStart"/>
      <w:r w:rsidRPr="002A7897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гиперпаратиреозу</w:t>
      </w:r>
      <w:proofErr w:type="spellEnd"/>
      <w:proofErr w:type="gramEnd"/>
      <w:r w:rsidRPr="002A7897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1C5C2B" w:rsidRPr="002A7897" w:rsidRDefault="001C5C2B" w:rsidP="001C5C2B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Эндокринология учебник И.И. Дедов, Г.А Мельниченко, В.В Фадеев Москва, изд.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Литтера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>. Стр.347 358.</w:t>
      </w:r>
    </w:p>
    <w:p w:rsidR="001C5C2B" w:rsidRPr="002A7897" w:rsidRDefault="001C5C2B" w:rsidP="001C5C2B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ПЕРВИЧНЫЙ ГИПЕРПАРАТИРЕОЗ: ПРОБЛЕМЫ И ПУТИ РЕШЕНИЯ. </w:t>
      </w:r>
      <w:proofErr w:type="spellStart"/>
      <w:proofErr w:type="gramStart"/>
      <w:r w:rsidRPr="002A7897">
        <w:rPr>
          <w:rFonts w:ascii="Times New Roman" w:hAnsi="Times New Roman" w:cs="Times New Roman"/>
          <w:sz w:val="28"/>
          <w:szCs w:val="28"/>
        </w:rPr>
        <w:t>Л.М.Фархутдинов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7897">
        <w:rPr>
          <w:rFonts w:ascii="Times New Roman" w:hAnsi="Times New Roman" w:cs="Times New Roman"/>
          <w:sz w:val="28"/>
          <w:szCs w:val="28"/>
        </w:rPr>
        <w:t>ж. Медицинский вестник Башкортостана 2010г.</w:t>
      </w:r>
    </w:p>
    <w:p w:rsidR="001C5C2B" w:rsidRPr="002A7897" w:rsidRDefault="001C5C2B" w:rsidP="001C5C2B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 xml:space="preserve">Современные подходы к диагностике и лечению первичного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гиперпаратиреоза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Анцифиров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97">
        <w:rPr>
          <w:rFonts w:ascii="Times New Roman" w:hAnsi="Times New Roman" w:cs="Times New Roman"/>
          <w:sz w:val="28"/>
          <w:szCs w:val="28"/>
        </w:rPr>
        <w:t>М.Б.Маркина</w:t>
      </w:r>
      <w:proofErr w:type="spellEnd"/>
      <w:r w:rsidRPr="002A789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C5C2B" w:rsidRPr="002A7897" w:rsidRDefault="001C5C2B" w:rsidP="001C5C2B">
      <w:pPr>
        <w:pStyle w:val="a8"/>
        <w:rPr>
          <w:rFonts w:ascii="Times New Roman" w:hAnsi="Times New Roman" w:cs="Times New Roman"/>
          <w:sz w:val="28"/>
          <w:szCs w:val="28"/>
        </w:rPr>
      </w:pPr>
      <w:r w:rsidRPr="002A7897">
        <w:rPr>
          <w:rFonts w:ascii="Times New Roman" w:hAnsi="Times New Roman" w:cs="Times New Roman"/>
          <w:sz w:val="28"/>
          <w:szCs w:val="28"/>
        </w:rPr>
        <w:t>РМЖ (Русский медицинский журнал) №</w:t>
      </w:r>
      <w:proofErr w:type="gramStart"/>
      <w:r w:rsidRPr="002A7897">
        <w:rPr>
          <w:rFonts w:ascii="Times New Roman" w:hAnsi="Times New Roman" w:cs="Times New Roman"/>
          <w:sz w:val="28"/>
          <w:szCs w:val="28"/>
        </w:rPr>
        <w:t>13  2014</w:t>
      </w:r>
      <w:proofErr w:type="gramEnd"/>
      <w:r w:rsidRPr="002A7897">
        <w:rPr>
          <w:rFonts w:ascii="Times New Roman" w:hAnsi="Times New Roman" w:cs="Times New Roman"/>
          <w:sz w:val="28"/>
          <w:szCs w:val="28"/>
        </w:rPr>
        <w:t>г.</w:t>
      </w:r>
    </w:p>
    <w:p w:rsidR="006A0C76" w:rsidRPr="002A7897" w:rsidRDefault="006A0C76" w:rsidP="006A0C76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7897">
        <w:rPr>
          <w:rFonts w:ascii="Times New Roman" w:hAnsi="Times New Roman" w:cs="Times New Roman"/>
          <w:bCs/>
          <w:sz w:val="28"/>
          <w:szCs w:val="28"/>
        </w:rPr>
        <w:t>жение</w:t>
      </w:r>
      <w:proofErr w:type="spellEnd"/>
      <w:r w:rsidRPr="002A7897">
        <w:rPr>
          <w:rFonts w:ascii="Times New Roman" w:hAnsi="Times New Roman" w:cs="Times New Roman"/>
          <w:bCs/>
          <w:sz w:val="28"/>
          <w:szCs w:val="28"/>
        </w:rPr>
        <w:t xml:space="preserve"> в росте, появление болей в спине); o ЭГДС– 1 раз в год.</w:t>
      </w:r>
    </w:p>
    <w:p w:rsidR="00F41335" w:rsidRPr="002A7897" w:rsidRDefault="00F41335" w:rsidP="00F413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333D" w:rsidRPr="002A7897" w:rsidRDefault="0066333D">
      <w:pPr>
        <w:rPr>
          <w:rFonts w:ascii="Times New Roman" w:hAnsi="Times New Roman" w:cs="Times New Roman"/>
          <w:sz w:val="28"/>
          <w:szCs w:val="28"/>
        </w:rPr>
      </w:pPr>
    </w:p>
    <w:sectPr w:rsidR="0066333D" w:rsidRPr="002A789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01" w:rsidRDefault="00F46B01" w:rsidP="00987D26">
      <w:pPr>
        <w:spacing w:after="0" w:line="240" w:lineRule="auto"/>
      </w:pPr>
      <w:r>
        <w:separator/>
      </w:r>
    </w:p>
  </w:endnote>
  <w:endnote w:type="continuationSeparator" w:id="0">
    <w:p w:rsidR="00F46B01" w:rsidRDefault="00F46B01" w:rsidP="0098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476152"/>
      <w:docPartObj>
        <w:docPartGallery w:val="Page Numbers (Bottom of Page)"/>
        <w:docPartUnique/>
      </w:docPartObj>
    </w:sdtPr>
    <w:sdtEndPr/>
    <w:sdtContent>
      <w:p w:rsidR="00987D26" w:rsidRDefault="00987D2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897">
          <w:rPr>
            <w:noProof/>
          </w:rPr>
          <w:t>12</w:t>
        </w:r>
        <w:r>
          <w:fldChar w:fldCharType="end"/>
        </w:r>
      </w:p>
    </w:sdtContent>
  </w:sdt>
  <w:p w:rsidR="00987D26" w:rsidRDefault="00987D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01" w:rsidRDefault="00F46B01" w:rsidP="00987D26">
      <w:pPr>
        <w:spacing w:after="0" w:line="240" w:lineRule="auto"/>
      </w:pPr>
      <w:r>
        <w:separator/>
      </w:r>
    </w:p>
  </w:footnote>
  <w:footnote w:type="continuationSeparator" w:id="0">
    <w:p w:rsidR="00F46B01" w:rsidRDefault="00F46B01" w:rsidP="0098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F68"/>
    <w:multiLevelType w:val="hybridMultilevel"/>
    <w:tmpl w:val="C826F62C"/>
    <w:lvl w:ilvl="0" w:tplc="A4ACF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A5B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EF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019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E606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834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AB5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8DF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CAE9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67D"/>
    <w:multiLevelType w:val="hybridMultilevel"/>
    <w:tmpl w:val="7BEC88F4"/>
    <w:lvl w:ilvl="0" w:tplc="6CFA24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5085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09C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2BA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265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887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89B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3C94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66C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F7106"/>
    <w:multiLevelType w:val="multilevel"/>
    <w:tmpl w:val="948C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30804"/>
    <w:multiLevelType w:val="hybridMultilevel"/>
    <w:tmpl w:val="44FC03CC"/>
    <w:lvl w:ilvl="0" w:tplc="0394AA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CCC3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E0E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2DE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C30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ACE6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486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E2F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2D9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72EC"/>
    <w:multiLevelType w:val="hybridMultilevel"/>
    <w:tmpl w:val="4130363E"/>
    <w:lvl w:ilvl="0" w:tplc="374263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DA5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E1F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65C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6E8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46A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C33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85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645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0969"/>
    <w:multiLevelType w:val="hybridMultilevel"/>
    <w:tmpl w:val="74566414"/>
    <w:lvl w:ilvl="0" w:tplc="DA4063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2BD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84E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6E1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28C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4EEA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450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80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87F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824FA"/>
    <w:multiLevelType w:val="multilevel"/>
    <w:tmpl w:val="97EC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876766"/>
    <w:multiLevelType w:val="hybridMultilevel"/>
    <w:tmpl w:val="0A022E92"/>
    <w:lvl w:ilvl="0" w:tplc="058C3D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D424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485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296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CE0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457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432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92FD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D460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F737C"/>
    <w:multiLevelType w:val="hybridMultilevel"/>
    <w:tmpl w:val="7AFC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80DA1"/>
    <w:multiLevelType w:val="multilevel"/>
    <w:tmpl w:val="F598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967343"/>
    <w:multiLevelType w:val="hybridMultilevel"/>
    <w:tmpl w:val="3388326C"/>
    <w:lvl w:ilvl="0" w:tplc="C924EC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A96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0F4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25B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6FE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FE00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0E6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744D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221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A0A0F"/>
    <w:multiLevelType w:val="multilevel"/>
    <w:tmpl w:val="3236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93705A"/>
    <w:multiLevelType w:val="multilevel"/>
    <w:tmpl w:val="E908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1"/>
  </w:num>
  <w:num w:numId="1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35"/>
    <w:rsid w:val="00120E32"/>
    <w:rsid w:val="001C5C2B"/>
    <w:rsid w:val="002301C7"/>
    <w:rsid w:val="002A7897"/>
    <w:rsid w:val="0066333D"/>
    <w:rsid w:val="006A0C76"/>
    <w:rsid w:val="0073282B"/>
    <w:rsid w:val="00831670"/>
    <w:rsid w:val="00987D26"/>
    <w:rsid w:val="00DB1DF3"/>
    <w:rsid w:val="00F41335"/>
    <w:rsid w:val="00F4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AA0E5B"/>
  <w15:chartTrackingRefBased/>
  <w15:docId w15:val="{A0D2E559-8496-4DBF-BEF1-4E7FD2F5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33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D26"/>
  </w:style>
  <w:style w:type="paragraph" w:styleId="a6">
    <w:name w:val="footer"/>
    <w:basedOn w:val="a"/>
    <w:link w:val="a7"/>
    <w:uiPriority w:val="99"/>
    <w:unhideWhenUsed/>
    <w:rsid w:val="0098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D26"/>
  </w:style>
  <w:style w:type="paragraph" w:styleId="a8">
    <w:name w:val="List Paragraph"/>
    <w:basedOn w:val="a"/>
    <w:uiPriority w:val="34"/>
    <w:qFormat/>
    <w:rsid w:val="0098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Wa8reEpGR0YYEOpHmHh5FYR2JDfIg7uK51lEy19JzNu0s6jQW7Z071AyvfauuV5VmRE76mssXd7wxQH8COLijjBWD5S-EoJBPhRyrhZowwhCTr6zMmzAIIGd2j12y7u4Kh9BL8pUO70K58LNQc7JGyD5oMuM24PJ8e6t81jZ5X2GdOwBFdaWUcCCINjH6CzZcvS9iUel*jNFimqu6-G2fwDil1aFzBJDw6UOTCz6B6XZsQcSFJuMKKqYnAy0u3X-Zy2zYixiXuSBuD1lCZX6AHKnTnjcr3XNtx1NNStDMPC3*tKzK95EUfq1mxGMiaG3pM82fO1gblY8uih7cPwOBm03yj6dhJwb5cGz4h8ZkzBLFbw4gWQJnMDBzSLZd5el54TpXuERnZ7NfXLyNFVIsSRk9*51UZft24qBKuCt5RyudVbiqA0OKo5cpTYZI2cSrpUKzVFwR-5OGsQLYMyvhJQ8Jtc1j9awvHXaiKXYUi6vTx-UQkof7S*mMKTfxvhU0b6p3WoTU5gKFdgozueW*1RvhY78ue6amPlnFhhQszmbEHuujHQHntTRvbvaXRDcDuetPw&amp;eurl%5B%5D=Wa8reN-e396qqiT*Xtf1Qb7dee4gDwYgYvtb*8UC41hcKoJ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BE2A-12EF-41D8-84D1-8A692BDD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Optimal</dc:creator>
  <cp:keywords/>
  <dc:description/>
  <cp:lastModifiedBy>Optimal</cp:lastModifiedBy>
  <cp:revision>5</cp:revision>
  <dcterms:created xsi:type="dcterms:W3CDTF">2018-04-21T13:15:00Z</dcterms:created>
  <dcterms:modified xsi:type="dcterms:W3CDTF">2018-05-02T03:36:00Z</dcterms:modified>
</cp:coreProperties>
</file>