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30930" w:rsidRPr="00EC076A" w:rsidRDefault="00EC076A">
      <w:pPr>
        <w:pStyle w:val="a3"/>
        <w:ind w:left="6957"/>
        <w:rPr>
          <w:rFonts w:ascii="Times New Roman"/>
          <w:lang w:val="ru-RU"/>
        </w:rPr>
      </w:pPr>
      <w:r>
        <w:rPr>
          <w:rFonts w:ascii="Times New Roman"/>
          <w:position w:val="3"/>
        </w:rPr>
      </w:r>
      <w:r>
        <w:rPr>
          <w:rFonts w:ascii="Times New Roman"/>
          <w:position w:val="3"/>
        </w:rPr>
        <w:pict>
          <v:group id="_x0000_s1045" style="width:127.5pt;height:38.75pt;mso-position-horizontal-relative:char;mso-position-vertical-relative:line" coordsize="2550,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247;top:468;width:302;height:300">
              <v:imagedata r:id="rId5" o:title=""/>
            </v:shape>
            <v:shape id="_x0000_s1050" type="#_x0000_t75" style="position:absolute;left:696;top:462;width:754;height:313">
              <v:imagedata r:id="rId6" o:title=""/>
            </v:shape>
            <v:shape id="_x0000_s1049" style="position:absolute;left:1498;top:462;width:402;height:306" coordorigin="1499,462" coordsize="402,306" path="m1802,462r-28,3l1751,471r-21,8l1710,490r-15,-13l1677,468r-22,-4l1627,462r-29,3l1566,471r-34,10l1499,492r1,9l1502,518r,250l1576,768r,-221l1575,538r11,-5l1597,529r11,-3l1620,525r20,4l1654,540r8,17l1665,580r,188l1738,768r,-216l1736,540r11,-6l1757,529r12,-3l1781,525r21,4l1817,540r8,18l1827,580r,188l1900,768r,-202l1894,522r-18,-32l1845,469r-43,-7xe" fillcolor="#0066b3" stroked="f">
              <v:path arrowok="t"/>
            </v:shape>
            <v:shape id="_x0000_s1048" type="#_x0000_t75" style="position:absolute;left:1952;top:462;width:277;height:313">
              <v:imagedata r:id="rId7" o:title=""/>
            </v:shape>
            <v:shape id="_x0000_s1047" type="#_x0000_t75" style="position:absolute;top:188;width:712;height:353">
              <v:imagedata r:id="rId8" o:title=""/>
            </v:shape>
            <v:shape id="_x0000_s1046" type="#_x0000_t75" style="position:absolute;left:535;width:712;height:351">
              <v:imagedata r:id="rId9" o:title=""/>
            </v:shape>
            <w10:wrap type="none"/>
            <w10:anchorlock/>
          </v:group>
        </w:pict>
      </w:r>
      <w:r w:rsidRPr="00EC076A">
        <w:rPr>
          <w:rFonts w:ascii="Times New Roman"/>
          <w:spacing w:val="91"/>
          <w:position w:val="3"/>
          <w:lang w:val="ru-RU"/>
        </w:rPr>
        <w:t xml:space="preserve"> </w:t>
      </w:r>
      <w:r>
        <w:rPr>
          <w:rFonts w:ascii="Times New Roman"/>
          <w:spacing w:val="91"/>
          <w:position w:val="2"/>
        </w:rPr>
      </w:r>
      <w:r>
        <w:rPr>
          <w:rFonts w:ascii="Times New Roman"/>
          <w:spacing w:val="91"/>
          <w:position w:val="2"/>
        </w:rPr>
        <w:pict>
          <v:group id="_x0000_s1043" style="width:.4pt;height:16.2pt;mso-position-horizontal-relative:char;mso-position-vertical-relative:line" coordsize="8,324">
            <v:rect id="_x0000_s1044" style="position:absolute;width:8;height:324" fillcolor="#58595b" stroked="f"/>
            <w10:wrap type="none"/>
            <w10:anchorlock/>
          </v:group>
        </w:pict>
      </w:r>
      <w:r w:rsidRPr="00EC076A">
        <w:rPr>
          <w:rFonts w:ascii="Times New Roman"/>
          <w:spacing w:val="79"/>
          <w:position w:val="2"/>
          <w:lang w:val="ru-RU"/>
        </w:rPr>
        <w:t xml:space="preserve"> </w:t>
      </w:r>
      <w:r>
        <w:rPr>
          <w:rFonts w:ascii="Times New Roman"/>
          <w:noProof/>
          <w:spacing w:val="79"/>
          <w:lang w:val="ru-RU" w:eastAsia="ru-RU"/>
        </w:rPr>
        <w:drawing>
          <wp:inline distT="0" distB="0" distL="0" distR="0">
            <wp:extent cx="706890" cy="214312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90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30930" w:rsidRPr="00EC076A" w:rsidRDefault="00E30930">
      <w:pPr>
        <w:pStyle w:val="a3"/>
        <w:spacing w:before="3"/>
        <w:rPr>
          <w:rFonts w:ascii="Times New Roman"/>
          <w:sz w:val="24"/>
          <w:lang w:val="ru-RU"/>
        </w:rPr>
      </w:pPr>
    </w:p>
    <w:p w:rsidR="00E30930" w:rsidRPr="00EC076A" w:rsidRDefault="00EC076A" w:rsidP="00EC076A">
      <w:pPr>
        <w:pStyle w:val="a3"/>
        <w:ind w:left="993"/>
        <w:rPr>
          <w:b/>
          <w:lang w:val="ru-RU"/>
        </w:rPr>
      </w:pPr>
      <w:r w:rsidRPr="00EC076A">
        <w:rPr>
          <w:b/>
          <w:color w:val="0066B3"/>
          <w:szCs w:val="22"/>
          <w:lang w:val="ru-RU"/>
        </w:rPr>
        <w:t>ЦЕНТР ВНИМАНИЯ ПУБЛИКАЦИИ</w:t>
      </w:r>
    </w:p>
    <w:p w:rsidR="00E30930" w:rsidRPr="00EC076A" w:rsidRDefault="00E30930">
      <w:pPr>
        <w:pStyle w:val="a3"/>
        <w:spacing w:before="6"/>
        <w:rPr>
          <w:b/>
          <w:sz w:val="25"/>
          <w:lang w:val="ru-RU"/>
        </w:rPr>
      </w:pPr>
    </w:p>
    <w:p w:rsidR="00E30930" w:rsidRDefault="00EC076A" w:rsidP="00EC076A">
      <w:pPr>
        <w:pStyle w:val="a3"/>
        <w:spacing w:before="7"/>
        <w:ind w:left="993"/>
        <w:rPr>
          <w:color w:val="0066B3"/>
          <w:spacing w:val="-8"/>
          <w:w w:val="90"/>
          <w:sz w:val="48"/>
          <w:szCs w:val="48"/>
          <w:lang w:val="ru-RU"/>
        </w:rPr>
      </w:pPr>
      <w:r w:rsidRPr="00EC076A">
        <w:rPr>
          <w:color w:val="0066B3"/>
          <w:spacing w:val="-8"/>
          <w:w w:val="90"/>
          <w:sz w:val="48"/>
          <w:szCs w:val="48"/>
          <w:lang w:val="ru-RU"/>
        </w:rPr>
        <w:t xml:space="preserve">Эквивалент гемоглобина в </w:t>
      </w:r>
      <w:proofErr w:type="spellStart"/>
      <w:r w:rsidRPr="00EC076A">
        <w:rPr>
          <w:color w:val="0066B3"/>
          <w:spacing w:val="-8"/>
          <w:w w:val="90"/>
          <w:sz w:val="48"/>
          <w:szCs w:val="48"/>
          <w:lang w:val="ru-RU"/>
        </w:rPr>
        <w:t>ретикулоцитах</w:t>
      </w:r>
      <w:proofErr w:type="spellEnd"/>
      <w:r w:rsidRPr="00EC076A">
        <w:rPr>
          <w:color w:val="0066B3"/>
          <w:spacing w:val="-8"/>
          <w:w w:val="90"/>
          <w:sz w:val="48"/>
          <w:szCs w:val="48"/>
          <w:lang w:val="ru-RU"/>
        </w:rPr>
        <w:t xml:space="preserve"> (</w:t>
      </w:r>
      <w:r w:rsidRPr="00EC076A">
        <w:rPr>
          <w:color w:val="0066B3"/>
          <w:spacing w:val="-8"/>
          <w:w w:val="90"/>
          <w:sz w:val="48"/>
          <w:szCs w:val="48"/>
        </w:rPr>
        <w:t>RET</w:t>
      </w:r>
      <w:r w:rsidRPr="00EC076A">
        <w:rPr>
          <w:color w:val="0066B3"/>
          <w:spacing w:val="-8"/>
          <w:w w:val="90"/>
          <w:sz w:val="48"/>
          <w:szCs w:val="48"/>
          <w:lang w:val="ru-RU"/>
        </w:rPr>
        <w:t>-</w:t>
      </w:r>
      <w:r w:rsidRPr="00EC076A">
        <w:rPr>
          <w:color w:val="0066B3"/>
          <w:spacing w:val="-8"/>
          <w:w w:val="90"/>
          <w:sz w:val="48"/>
          <w:szCs w:val="48"/>
        </w:rPr>
        <w:t>He</w:t>
      </w:r>
      <w:r w:rsidRPr="00EC076A">
        <w:rPr>
          <w:color w:val="0066B3"/>
          <w:spacing w:val="-8"/>
          <w:w w:val="90"/>
          <w:sz w:val="48"/>
          <w:szCs w:val="48"/>
          <w:lang w:val="ru-RU"/>
        </w:rPr>
        <w:t>) в качестве параметра общего анализа крови для оценки дефицита железа до и после операции</w:t>
      </w:r>
    </w:p>
    <w:p w:rsidR="00EC076A" w:rsidRPr="00EC076A" w:rsidRDefault="00EC076A" w:rsidP="00EC076A">
      <w:pPr>
        <w:pStyle w:val="a3"/>
        <w:spacing w:before="7"/>
        <w:ind w:left="993"/>
        <w:rPr>
          <w:sz w:val="18"/>
          <w:lang w:val="ru-RU"/>
        </w:rPr>
      </w:pPr>
    </w:p>
    <w:p w:rsidR="00E30930" w:rsidRPr="00EC076A" w:rsidRDefault="00EC076A" w:rsidP="00EC076A">
      <w:pPr>
        <w:pStyle w:val="a3"/>
        <w:spacing w:before="1"/>
        <w:ind w:left="993" w:right="995"/>
        <w:rPr>
          <w:sz w:val="15"/>
          <w:lang w:val="ru-RU"/>
        </w:rPr>
      </w:pPr>
      <w:r w:rsidRPr="00EC076A">
        <w:rPr>
          <w:color w:val="231F20"/>
          <w:w w:val="90"/>
          <w:lang w:val="ru-RU"/>
        </w:rPr>
        <w:t>Управление кровью пациентов (</w:t>
      </w:r>
      <w:r>
        <w:rPr>
          <w:color w:val="231F20"/>
          <w:w w:val="90"/>
          <w:lang w:val="ru-RU"/>
        </w:rPr>
        <w:t>УКП</w:t>
      </w:r>
      <w:r w:rsidRPr="00EC076A">
        <w:rPr>
          <w:color w:val="231F20"/>
          <w:w w:val="90"/>
          <w:lang w:val="ru-RU"/>
        </w:rPr>
        <w:t xml:space="preserve">) - это основанный на фактических данных междисциплинарный подход к уходу за пациентами, которым может потребоваться переливание крови. Одним из важных компонентов </w:t>
      </w:r>
      <w:r w:rsidRPr="00EC076A">
        <w:rPr>
          <w:color w:val="231F20"/>
          <w:w w:val="90"/>
        </w:rPr>
        <w:t>PBM</w:t>
      </w:r>
      <w:r w:rsidRPr="00EC076A">
        <w:rPr>
          <w:color w:val="231F20"/>
          <w:w w:val="90"/>
          <w:lang w:val="ru-RU"/>
        </w:rPr>
        <w:t xml:space="preserve"> является диагностика, снижение и профилактика анемии, чтобы избежать переливаний крови в любых клинических условиях. Для рациональной и успешной диагностики и лечения анемии до и после операции важна своевременная диагностика пациентов. Для пациентов с дефицитом железа с анемией или без нее это позволяет осуществлять эффективное замещение железа и мониторинг в контексте </w:t>
      </w:r>
      <w:r>
        <w:rPr>
          <w:color w:val="231F20"/>
          <w:w w:val="90"/>
          <w:lang w:val="ru-RU"/>
        </w:rPr>
        <w:t>УКП</w:t>
      </w:r>
      <w:r w:rsidRPr="00EC076A">
        <w:rPr>
          <w:color w:val="231F20"/>
          <w:w w:val="90"/>
          <w:lang w:val="ru-RU"/>
        </w:rPr>
        <w:t>.</w:t>
      </w:r>
    </w:p>
    <w:p w:rsidR="00E30930" w:rsidRPr="00EC076A" w:rsidRDefault="00EC076A">
      <w:pPr>
        <w:pStyle w:val="a3"/>
        <w:spacing w:before="100" w:line="290" w:lineRule="auto"/>
        <w:ind w:left="963" w:right="6112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 wp14:anchorId="660EF196" wp14:editId="6656F449">
            <wp:simplePos x="0" y="0"/>
            <wp:positionH relativeFrom="page">
              <wp:posOffset>3887990</wp:posOffset>
            </wp:positionH>
            <wp:positionV relativeFrom="paragraph">
              <wp:posOffset>93848</wp:posOffset>
            </wp:positionV>
            <wp:extent cx="3060001" cy="2578100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01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76A">
        <w:rPr>
          <w:lang w:val="ru-RU"/>
        </w:rPr>
        <w:t xml:space="preserve"> </w:t>
      </w:r>
      <w:r w:rsidRPr="00EC076A">
        <w:rPr>
          <w:noProof/>
          <w:lang w:val="ru-RU" w:eastAsia="ru-RU"/>
        </w:rPr>
        <w:t>Несколько исследований показали, что эквивалент гемоглобина в ретикулоцитах является параметром, помогающим в диагностике и мониторинге поступления железа в эритропоэз. В отличие от количества ретикулоцитов (RET), дающего непосредственное представление о текущей скорости эритропоэза, эквивалент гемоглобина в ретикулоцитах (RET-He) отражает доступность железа для эритропоэза и общее качество эритропоэза [1, 2]. Изменения в доступности железа для эритропоэза могут быть обнаружены раньше и более надежно по сравнению с биохимическими маркерами, такими как насыщение ферритином и трансферрином [3-5]. Было предложено до- и послеоперационное измерение RET-He в качестве параметра общего анализа крови для помощи в диагностике пациентов с риском развития латентной и/или функциональной железодефицитной анемии, чтобы заблаговременно начать лечение, избежать осложнений и предотвратить более длительную госпитализацию [1, 6-8].</w:t>
      </w: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30930">
      <w:pPr>
        <w:pStyle w:val="a3"/>
        <w:rPr>
          <w:sz w:val="24"/>
          <w:lang w:val="ru-RU"/>
        </w:rPr>
      </w:pPr>
    </w:p>
    <w:p w:rsidR="00E30930" w:rsidRPr="00EC076A" w:rsidRDefault="00EC076A" w:rsidP="00EC076A">
      <w:pPr>
        <w:ind w:left="993"/>
        <w:rPr>
          <w:sz w:val="29"/>
          <w:lang w:val="ru-RU"/>
        </w:rPr>
      </w:pPr>
      <w:hyperlink r:id="rId12">
        <w:r>
          <w:rPr>
            <w:color w:val="0066B3"/>
            <w:sz w:val="29"/>
          </w:rPr>
          <w:t>www</w:t>
        </w:r>
        <w:r w:rsidRPr="00EC076A">
          <w:rPr>
            <w:color w:val="0066B3"/>
            <w:sz w:val="29"/>
            <w:lang w:val="ru-RU"/>
          </w:rPr>
          <w:t>.</w:t>
        </w:r>
        <w:proofErr w:type="spellStart"/>
        <w:r>
          <w:rPr>
            <w:color w:val="0066B3"/>
            <w:sz w:val="29"/>
          </w:rPr>
          <w:t>sysmex</w:t>
        </w:r>
        <w:proofErr w:type="spellEnd"/>
        <w:r w:rsidRPr="00EC076A">
          <w:rPr>
            <w:color w:val="0066B3"/>
            <w:sz w:val="29"/>
            <w:lang w:val="ru-RU"/>
          </w:rPr>
          <w:t>-</w:t>
        </w:r>
        <w:proofErr w:type="spellStart"/>
        <w:r>
          <w:rPr>
            <w:color w:val="0066B3"/>
            <w:sz w:val="29"/>
          </w:rPr>
          <w:t>europe</w:t>
        </w:r>
        <w:proofErr w:type="spellEnd"/>
        <w:r w:rsidRPr="00EC076A">
          <w:rPr>
            <w:color w:val="0066B3"/>
            <w:sz w:val="29"/>
            <w:lang w:val="ru-RU"/>
          </w:rPr>
          <w:t>.</w:t>
        </w:r>
        <w:r>
          <w:rPr>
            <w:color w:val="0066B3"/>
            <w:sz w:val="29"/>
          </w:rPr>
          <w:t>com</w:t>
        </w:r>
      </w:hyperlink>
    </w:p>
    <w:p w:rsidR="00E30930" w:rsidRPr="00EC076A" w:rsidRDefault="00E30930">
      <w:pPr>
        <w:rPr>
          <w:sz w:val="29"/>
          <w:lang w:val="ru-RU"/>
        </w:rPr>
        <w:sectPr w:rsidR="00E30930" w:rsidRPr="00EC076A">
          <w:type w:val="continuous"/>
          <w:pgSz w:w="11910" w:h="16840"/>
          <w:pgMar w:top="660" w:right="0" w:bottom="280" w:left="0" w:header="720" w:footer="720" w:gutter="0"/>
          <w:cols w:space="720"/>
        </w:sectPr>
      </w:pPr>
    </w:p>
    <w:p w:rsidR="00E30930" w:rsidRPr="00EC076A" w:rsidRDefault="00EC076A" w:rsidP="00EC076A">
      <w:pPr>
        <w:pStyle w:val="a3"/>
        <w:spacing w:before="1"/>
        <w:ind w:left="993"/>
        <w:rPr>
          <w:sz w:val="12"/>
          <w:lang w:val="ru-RU"/>
        </w:rPr>
      </w:pPr>
      <w:r w:rsidRPr="00EC076A">
        <w:rPr>
          <w:color w:val="0066B3"/>
          <w:w w:val="85"/>
          <w:sz w:val="30"/>
          <w:szCs w:val="22"/>
          <w:lang w:val="ru-RU"/>
        </w:rPr>
        <w:lastRenderedPageBreak/>
        <w:t>Список использованной литературы</w:t>
      </w:r>
    </w:p>
    <w:p w:rsidR="00E30930" w:rsidRPr="00EC076A" w:rsidRDefault="00EC076A">
      <w:pPr>
        <w:tabs>
          <w:tab w:val="left" w:pos="963"/>
          <w:tab w:val="left" w:pos="11905"/>
        </w:tabs>
        <w:spacing w:before="99"/>
        <w:rPr>
          <w:b/>
          <w:sz w:val="18"/>
          <w:lang w:val="ru-RU"/>
        </w:rPr>
      </w:pPr>
      <w:r w:rsidRPr="00EC076A">
        <w:rPr>
          <w:b/>
          <w:color w:val="0066B3"/>
          <w:w w:val="64"/>
          <w:sz w:val="18"/>
          <w:shd w:val="clear" w:color="auto" w:fill="D7F0FC"/>
          <w:lang w:val="ru-RU"/>
        </w:rPr>
        <w:t xml:space="preserve"> </w:t>
      </w:r>
      <w:r w:rsidRPr="00EC076A">
        <w:rPr>
          <w:b/>
          <w:color w:val="0066B3"/>
          <w:sz w:val="18"/>
          <w:shd w:val="clear" w:color="auto" w:fill="D7F0FC"/>
          <w:lang w:val="ru-RU"/>
        </w:rPr>
        <w:tab/>
        <w:t>Публикации</w:t>
      </w:r>
      <w:r w:rsidRPr="00EC076A">
        <w:rPr>
          <w:b/>
          <w:color w:val="0066B3"/>
          <w:sz w:val="18"/>
          <w:shd w:val="clear" w:color="auto" w:fill="D7F0FC"/>
          <w:lang w:val="ru-RU"/>
        </w:rPr>
        <w:tab/>
      </w:r>
    </w:p>
    <w:p w:rsidR="00E30930" w:rsidRPr="00EC076A" w:rsidRDefault="00E30930">
      <w:pPr>
        <w:pStyle w:val="a3"/>
        <w:rPr>
          <w:b/>
          <w:lang w:val="ru-RU"/>
        </w:rPr>
      </w:pPr>
    </w:p>
    <w:p w:rsidR="00E30930" w:rsidRPr="00EC076A" w:rsidRDefault="00E30930">
      <w:pPr>
        <w:pStyle w:val="a3"/>
        <w:spacing w:before="8"/>
        <w:rPr>
          <w:b/>
          <w:sz w:val="21"/>
          <w:lang w:val="ru-RU"/>
        </w:rPr>
      </w:pPr>
    </w:p>
    <w:p w:rsidR="00E30930" w:rsidRPr="00EC076A" w:rsidRDefault="00EC076A">
      <w:pPr>
        <w:spacing w:line="259" w:lineRule="auto"/>
        <w:ind w:left="1190" w:right="2883" w:hanging="227"/>
        <w:rPr>
          <w:i/>
          <w:sz w:val="16"/>
          <w:lang w:val="ru-RU"/>
        </w:rPr>
      </w:pPr>
      <w:r>
        <w:pict>
          <v:group id="_x0000_s1039" style="position:absolute;left:0;text-align:left;margin-left:0;margin-top:37.8pt;width:595.3pt;height:56.7pt;z-index:15730176;mso-position-horizontal-relative:page" coordorigin=",756" coordsize="11906,1134">
            <v:shape id="_x0000_s1042" type="#_x0000_t75" style="position:absolute;top:756;width:11906;height:1134">
              <v:imagedata r:id="rId13" o:title=""/>
            </v:shape>
            <v:shape id="_x0000_s1041" type="#_x0000_t75" style="position:absolute;left:10034;top:869;width:908;height:908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top:756;width:11906;height:1134" filled="f" stroked="f">
              <v:textbox inset="0,0,0,0">
                <w:txbxContent>
                  <w:p w:rsidR="00E30930" w:rsidRDefault="00E30930">
                    <w:pPr>
                      <w:rPr>
                        <w:b/>
                        <w:sz w:val="18"/>
                      </w:rPr>
                    </w:pPr>
                  </w:p>
                  <w:p w:rsidR="00E30930" w:rsidRDefault="00E30930">
                    <w:pPr>
                      <w:spacing w:before="5"/>
                      <w:rPr>
                        <w:b/>
                        <w:sz w:val="14"/>
                      </w:rPr>
                    </w:pPr>
                  </w:p>
                  <w:p w:rsidR="00E30930" w:rsidRPr="00EC076A" w:rsidRDefault="00EC076A">
                    <w:pPr>
                      <w:spacing w:before="1" w:line="259" w:lineRule="auto"/>
                      <w:ind w:left="1225" w:right="2604" w:hanging="262"/>
                      <w:rPr>
                        <w:i/>
                        <w:sz w:val="16"/>
                        <w:lang w:val="ru-RU"/>
                      </w:rPr>
                    </w:pPr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>[2]</w:t>
                    </w:r>
                    <w:r w:rsidRPr="00EC076A">
                      <w:rPr>
                        <w:b/>
                        <w:i/>
                        <w:color w:val="231F20"/>
                        <w:spacing w:val="24"/>
                        <w:w w:val="85"/>
                        <w:sz w:val="16"/>
                        <w:lang w:val="ru-RU"/>
                      </w:rPr>
                      <w:t xml:space="preserve">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>Джей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Клин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>Хенеманн</w:t>
                    </w:r>
                    <w:proofErr w:type="spellEnd"/>
                    <w:proofErr w:type="gramStart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С</w:t>
                    </w:r>
                    <w:proofErr w:type="gramEnd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и др. (2021): Параметры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>ретикулоцитарного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и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>эритроцитарного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гемоглобина для диагностики дефицита железа и анемии при ведении крови пациентов. Описательный обзор. Мед. 2021; 10(18): 4250</w:t>
                    </w:r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6386195</wp:posOffset>
            </wp:positionH>
            <wp:positionV relativeFrom="paragraph">
              <wp:posOffset>-153488</wp:posOffset>
            </wp:positionV>
            <wp:extent cx="547611" cy="547636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11" cy="54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76A">
        <w:rPr>
          <w:b/>
          <w:i/>
          <w:color w:val="231F20"/>
          <w:w w:val="85"/>
          <w:sz w:val="16"/>
          <w:lang w:val="ru-RU"/>
        </w:rPr>
        <w:t>[1]</w:t>
      </w:r>
      <w:r w:rsidRPr="00EC076A">
        <w:rPr>
          <w:b/>
          <w:i/>
          <w:color w:val="231F20"/>
          <w:spacing w:val="32"/>
          <w:w w:val="85"/>
          <w:sz w:val="16"/>
          <w:lang w:val="ru-RU"/>
        </w:rPr>
        <w:t xml:space="preserve">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Хенеманн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 С. и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соавт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. (2021): Гемоглобин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ретикулоцитов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 как рутинный параметр при предоперационной оценке дефицита железа.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Эндокринол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Метаб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>, Том. 5 № 1: 154.</w:t>
      </w: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spacing w:before="9"/>
        <w:rPr>
          <w:i/>
          <w:sz w:val="16"/>
          <w:lang w:val="ru-RU"/>
        </w:rPr>
      </w:pPr>
    </w:p>
    <w:p w:rsidR="00E30930" w:rsidRPr="00EC076A" w:rsidRDefault="00EC076A">
      <w:pPr>
        <w:spacing w:line="259" w:lineRule="auto"/>
        <w:ind w:left="1225" w:right="2883" w:hanging="262"/>
        <w:rPr>
          <w:i/>
          <w:sz w:val="16"/>
          <w:lang w:val="ru-RU"/>
        </w:rPr>
      </w:pPr>
      <w:r>
        <w:pict>
          <v:group id="_x0000_s1035" style="position:absolute;left:0;text-align:left;margin-left:0;margin-top:37.8pt;width:595.3pt;height:56.7pt;z-index:15730688;mso-position-horizontal-relative:page" coordorigin=",756" coordsize="11906,1134">
            <v:shape id="_x0000_s1038" type="#_x0000_t75" style="position:absolute;top:756;width:11906;height:1134">
              <v:imagedata r:id="rId13" o:title=""/>
            </v:shape>
            <v:shape id="_x0000_s1037" type="#_x0000_t75" style="position:absolute;left:10034;top:869;width:908;height:908">
              <v:imagedata r:id="rId16" o:title=""/>
            </v:shape>
            <v:shape id="_x0000_s1036" type="#_x0000_t202" style="position:absolute;top:756;width:11906;height:1134" filled="f" stroked="f">
              <v:textbox inset="0,0,0,0">
                <w:txbxContent>
                  <w:p w:rsidR="00E30930" w:rsidRDefault="00E30930">
                    <w:pPr>
                      <w:rPr>
                        <w:b/>
                        <w:sz w:val="18"/>
                      </w:rPr>
                    </w:pPr>
                  </w:p>
                  <w:p w:rsidR="00E30930" w:rsidRDefault="00E30930">
                    <w:pPr>
                      <w:spacing w:before="5"/>
                      <w:rPr>
                        <w:b/>
                        <w:sz w:val="14"/>
                      </w:rPr>
                    </w:pPr>
                  </w:p>
                  <w:p w:rsidR="00E30930" w:rsidRPr="00EC076A" w:rsidRDefault="00EC076A">
                    <w:pPr>
                      <w:spacing w:before="1" w:line="259" w:lineRule="auto"/>
                      <w:ind w:left="1225" w:right="2604" w:hanging="262"/>
                      <w:rPr>
                        <w:sz w:val="16"/>
                      </w:rPr>
                    </w:pPr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>[4]</w:t>
                    </w:r>
                    <w:r w:rsidRPr="00EC076A">
                      <w:rPr>
                        <w:b/>
                        <w:i/>
                        <w:color w:val="231F20"/>
                        <w:spacing w:val="9"/>
                        <w:w w:val="85"/>
                        <w:sz w:val="16"/>
                        <w:lang w:val="ru-RU"/>
                      </w:rPr>
                      <w:t xml:space="preserve"> </w:t>
                    </w:r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Томас Л. и др. (2005): </w:t>
                    </w:r>
                    <w:r w:rsidRPr="00EC076A">
                      <w:rPr>
                        <w:b/>
                        <w:color w:val="231F20"/>
                        <w:w w:val="85"/>
                        <w:sz w:val="16"/>
                        <w:lang w:val="ru-RU"/>
                      </w:rPr>
                      <w:t xml:space="preserve">Измерение уровня гемоглобина в </w:t>
                    </w:r>
                    <w:proofErr w:type="spellStart"/>
                    <w:r w:rsidRPr="00EC076A">
                      <w:rPr>
                        <w:b/>
                        <w:color w:val="231F20"/>
                        <w:w w:val="85"/>
                        <w:sz w:val="16"/>
                        <w:lang w:val="ru-RU"/>
                      </w:rPr>
                      <w:t>ретикулоцитах</w:t>
                    </w:r>
                    <w:proofErr w:type="spellEnd"/>
                    <w:r w:rsidRPr="00EC076A">
                      <w:rPr>
                        <w:b/>
                        <w:color w:val="231F20"/>
                        <w:w w:val="85"/>
                        <w:sz w:val="16"/>
                        <w:lang w:val="ru-RU"/>
                      </w:rPr>
                      <w:t xml:space="preserve"> - сравнение двух методов диагностики </w:t>
                    </w:r>
                    <w:proofErr w:type="spellStart"/>
                    <w:r w:rsidRPr="00EC076A">
                      <w:rPr>
                        <w:b/>
                        <w:color w:val="231F20"/>
                        <w:w w:val="85"/>
                        <w:sz w:val="16"/>
                        <w:lang w:val="ru-RU"/>
                      </w:rPr>
                      <w:t>эритропоэза</w:t>
                    </w:r>
                    <w:proofErr w:type="spellEnd"/>
                    <w:r w:rsidRPr="00EC076A">
                      <w:rPr>
                        <w:b/>
                        <w:color w:val="231F20"/>
                        <w:w w:val="85"/>
                        <w:sz w:val="16"/>
                        <w:lang w:val="ru-RU"/>
                      </w:rPr>
                      <w:t xml:space="preserve">, ограниченного железом. </w:t>
                    </w:r>
                    <w:proofErr w:type="spellStart"/>
                    <w:r w:rsidRPr="00EC076A">
                      <w:rPr>
                        <w:b/>
                        <w:color w:val="231F20"/>
                        <w:w w:val="85"/>
                        <w:sz w:val="16"/>
                      </w:rPr>
                      <w:t>Клинико-химическая</w:t>
                    </w:r>
                    <w:proofErr w:type="spellEnd"/>
                    <w:r w:rsidRPr="00EC076A">
                      <w:rPr>
                        <w:b/>
                        <w:color w:val="231F20"/>
                        <w:w w:val="85"/>
                        <w:sz w:val="16"/>
                      </w:rPr>
                      <w:t xml:space="preserve"> </w:t>
                    </w:r>
                    <w:proofErr w:type="spellStart"/>
                    <w:r w:rsidRPr="00EC076A">
                      <w:rPr>
                        <w:b/>
                        <w:color w:val="231F20"/>
                        <w:w w:val="85"/>
                        <w:sz w:val="16"/>
                      </w:rPr>
                      <w:t>лаборатория</w:t>
                    </w:r>
                    <w:proofErr w:type="spellEnd"/>
                    <w:r w:rsidRPr="00EC076A">
                      <w:rPr>
                        <w:b/>
                        <w:color w:val="231F20"/>
                        <w:w w:val="85"/>
                        <w:sz w:val="16"/>
                      </w:rPr>
                      <w:t xml:space="preserve">, </w:t>
                    </w:r>
                    <w:proofErr w:type="spellStart"/>
                    <w:r w:rsidRPr="00EC076A">
                      <w:rPr>
                        <w:b/>
                        <w:color w:val="231F20"/>
                        <w:w w:val="85"/>
                        <w:sz w:val="16"/>
                      </w:rPr>
                      <w:t>Мед</w:t>
                    </w:r>
                    <w:proofErr w:type="spellEnd"/>
                    <w:r w:rsidRPr="00EC076A">
                      <w:rPr>
                        <w:b/>
                        <w:color w:val="231F20"/>
                        <w:w w:val="85"/>
                        <w:sz w:val="16"/>
                      </w:rPr>
                      <w:t>. 2005; 43(11): 1193-1202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6390894</wp:posOffset>
            </wp:positionH>
            <wp:positionV relativeFrom="paragraph">
              <wp:posOffset>-148813</wp:posOffset>
            </wp:positionV>
            <wp:extent cx="538949" cy="538949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49" cy="538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76A">
        <w:rPr>
          <w:b/>
          <w:i/>
          <w:color w:val="231F20"/>
          <w:w w:val="85"/>
          <w:sz w:val="16"/>
          <w:lang w:val="ru-RU"/>
        </w:rPr>
        <w:t>[3]</w:t>
      </w:r>
      <w:r w:rsidRPr="00EC076A">
        <w:rPr>
          <w:b/>
          <w:i/>
          <w:color w:val="231F20"/>
          <w:spacing w:val="11"/>
          <w:w w:val="85"/>
          <w:sz w:val="16"/>
          <w:lang w:val="ru-RU"/>
        </w:rPr>
        <w:t xml:space="preserve"> </w:t>
      </w:r>
      <w:r w:rsidRPr="00EC076A">
        <w:rPr>
          <w:b/>
          <w:i/>
          <w:color w:val="231F20"/>
          <w:w w:val="85"/>
          <w:sz w:val="16"/>
          <w:lang w:val="ru-RU"/>
        </w:rPr>
        <w:t xml:space="preserve">Ван Вик Д.Б. и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соавт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. (2010): </w:t>
      </w:r>
      <w:r w:rsidRPr="00EC076A">
        <w:rPr>
          <w:i/>
          <w:color w:val="231F20"/>
          <w:w w:val="85"/>
          <w:sz w:val="16"/>
          <w:lang w:val="ru-RU"/>
        </w:rPr>
        <w:t xml:space="preserve">Аналитические и биологические различия в показателях анемии и статуса железа у пациентов, получающих поддерживающий гемодиализ. </w:t>
      </w:r>
      <w:proofErr w:type="gramStart"/>
      <w:r w:rsidRPr="00EC076A">
        <w:rPr>
          <w:i/>
          <w:color w:val="231F20"/>
          <w:w w:val="85"/>
          <w:sz w:val="16"/>
        </w:rPr>
        <w:t>Am</w:t>
      </w:r>
      <w:r w:rsidRPr="00EC076A">
        <w:rPr>
          <w:i/>
          <w:color w:val="231F20"/>
          <w:w w:val="85"/>
          <w:sz w:val="16"/>
          <w:lang w:val="ru-RU"/>
        </w:rPr>
        <w:t xml:space="preserve"> </w:t>
      </w:r>
      <w:r w:rsidRPr="00EC076A">
        <w:rPr>
          <w:i/>
          <w:color w:val="231F20"/>
          <w:w w:val="85"/>
          <w:sz w:val="16"/>
        </w:rPr>
        <w:t>J</w:t>
      </w:r>
      <w:r w:rsidRPr="00EC076A">
        <w:rPr>
          <w:i/>
          <w:color w:val="231F20"/>
          <w:w w:val="85"/>
          <w:sz w:val="16"/>
          <w:lang w:val="ru-RU"/>
        </w:rPr>
        <w:t xml:space="preserve"> Нарушение функции почек.</w:t>
      </w:r>
      <w:proofErr w:type="gramEnd"/>
      <w:r w:rsidRPr="00EC076A">
        <w:rPr>
          <w:i/>
          <w:color w:val="231F20"/>
          <w:w w:val="85"/>
          <w:sz w:val="16"/>
          <w:lang w:val="ru-RU"/>
        </w:rPr>
        <w:t xml:space="preserve"> 2010; 56(3): 540-546.</w:t>
      </w: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rPr>
          <w:i/>
          <w:sz w:val="18"/>
          <w:lang w:val="ru-RU"/>
        </w:rPr>
      </w:pPr>
    </w:p>
    <w:p w:rsidR="00E30930" w:rsidRPr="00EC076A" w:rsidRDefault="00E30930">
      <w:pPr>
        <w:pStyle w:val="a3"/>
        <w:spacing w:before="8"/>
        <w:rPr>
          <w:i/>
          <w:sz w:val="16"/>
          <w:lang w:val="ru-RU"/>
        </w:rPr>
      </w:pPr>
    </w:p>
    <w:p w:rsidR="00E30930" w:rsidRDefault="00EC076A" w:rsidP="00EC076A">
      <w:pPr>
        <w:spacing w:before="1" w:line="259" w:lineRule="auto"/>
        <w:ind w:left="1225" w:right="3209" w:hanging="262"/>
        <w:rPr>
          <w:i/>
          <w:sz w:val="18"/>
        </w:rPr>
      </w:pPr>
      <w:r>
        <w:pict>
          <v:group id="_x0000_s1031" style="position:absolute;left:0;text-align:left;margin-left:0;margin-top:37.85pt;width:595.3pt;height:56.7pt;z-index:15731712;mso-position-horizontal-relative:page" coordorigin=",757" coordsize="11906,1134">
            <v:shape id="_x0000_s1034" type="#_x0000_t75" style="position:absolute;top:757;width:11906;height:1134">
              <v:imagedata r:id="rId13" o:title=""/>
            </v:shape>
            <v:shape id="_x0000_s1033" type="#_x0000_t75" style="position:absolute;left:10034;top:870;width:908;height:908">
              <v:imagedata r:id="rId18" o:title=""/>
            </v:shape>
            <v:shape id="_x0000_s1032" type="#_x0000_t202" style="position:absolute;top:757;width:11906;height:1134" filled="f" stroked="f">
              <v:textbox inset="0,0,0,0">
                <w:txbxContent>
                  <w:p w:rsidR="00E30930" w:rsidRDefault="00E30930">
                    <w:pPr>
                      <w:rPr>
                        <w:b/>
                        <w:sz w:val="18"/>
                      </w:rPr>
                    </w:pPr>
                  </w:p>
                  <w:p w:rsidR="00E30930" w:rsidRDefault="00E30930">
                    <w:pPr>
                      <w:spacing w:before="5"/>
                      <w:rPr>
                        <w:b/>
                        <w:sz w:val="14"/>
                      </w:rPr>
                    </w:pPr>
                  </w:p>
                  <w:p w:rsidR="00E30930" w:rsidRPr="00EC076A" w:rsidRDefault="00EC076A">
                    <w:pPr>
                      <w:spacing w:before="1" w:line="259" w:lineRule="auto"/>
                      <w:ind w:left="1225" w:right="2604" w:hanging="262"/>
                      <w:rPr>
                        <w:i/>
                        <w:sz w:val="16"/>
                      </w:rPr>
                    </w:pPr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>[6]</w:t>
                    </w:r>
                    <w:r w:rsidRPr="00EC076A">
                      <w:rPr>
                        <w:b/>
                        <w:i/>
                        <w:color w:val="231F20"/>
                        <w:spacing w:val="26"/>
                        <w:w w:val="85"/>
                        <w:sz w:val="16"/>
                        <w:lang w:val="ru-RU"/>
                      </w:rPr>
                      <w:t xml:space="preserve"> </w:t>
                    </w:r>
                    <w:proofErr w:type="spellStart"/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>Шандер</w:t>
                    </w:r>
                    <w:proofErr w:type="spellEnd"/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А. и др. (2022): </w:t>
                    </w:r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Рекомендации Международной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>консенсусной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конференции по лечению анемии у хирургических пациентов (</w:t>
                    </w:r>
                    <w:r w:rsidRPr="00EC076A">
                      <w:rPr>
                        <w:i/>
                        <w:color w:val="231F20"/>
                        <w:w w:val="85"/>
                        <w:sz w:val="16"/>
                      </w:rPr>
                      <w:t>ICCAMS</w:t>
                    </w:r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) [опубликованы онлайн перед печатью, 21 сентября 2022 г.]. </w:t>
                    </w:r>
                    <w:proofErr w:type="spellStart"/>
                    <w:proofErr w:type="gramStart"/>
                    <w:r w:rsidRPr="00EC076A">
                      <w:rPr>
                        <w:i/>
                        <w:color w:val="231F20"/>
                        <w:w w:val="85"/>
                        <w:sz w:val="16"/>
                      </w:rPr>
                      <w:t>Энн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</w:rPr>
                      <w:t xml:space="preserve">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</w:rPr>
                      <w:t>Хирург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</w:rPr>
                      <w:t>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732736" behindDoc="0" locked="0" layoutInCell="1" allowOverlap="1" wp14:anchorId="6B8CE119" wp14:editId="16A47486">
            <wp:simplePos x="0" y="0"/>
            <wp:positionH relativeFrom="page">
              <wp:posOffset>6393357</wp:posOffset>
            </wp:positionH>
            <wp:positionV relativeFrom="paragraph">
              <wp:posOffset>-146006</wp:posOffset>
            </wp:positionV>
            <wp:extent cx="533285" cy="533285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85" cy="53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76A">
        <w:rPr>
          <w:b/>
          <w:i/>
          <w:color w:val="231F20"/>
          <w:w w:val="85"/>
          <w:sz w:val="16"/>
          <w:lang w:val="ru-RU"/>
        </w:rPr>
        <w:t>[5]</w:t>
      </w:r>
      <w:r w:rsidRPr="00EC076A">
        <w:rPr>
          <w:b/>
          <w:i/>
          <w:color w:val="231F20"/>
          <w:spacing w:val="15"/>
          <w:w w:val="85"/>
          <w:sz w:val="16"/>
          <w:lang w:val="ru-RU"/>
        </w:rPr>
        <w:t xml:space="preserve"> </w:t>
      </w:r>
      <w:r w:rsidRPr="00EC076A">
        <w:rPr>
          <w:b/>
          <w:i/>
          <w:color w:val="231F20"/>
          <w:w w:val="85"/>
          <w:sz w:val="16"/>
          <w:lang w:val="ru-RU"/>
        </w:rPr>
        <w:t xml:space="preserve">Томас С. и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соавт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. (2002): Биохимические маркеры и гематологические показатели в диагностике функционального дефицита железа. </w:t>
      </w:r>
      <w:proofErr w:type="spellStart"/>
      <w:proofErr w:type="gramStart"/>
      <w:r w:rsidRPr="00EC076A">
        <w:rPr>
          <w:b/>
          <w:i/>
          <w:color w:val="231F20"/>
          <w:w w:val="85"/>
          <w:sz w:val="16"/>
        </w:rPr>
        <w:t>Клиническая</w:t>
      </w:r>
      <w:proofErr w:type="spellEnd"/>
      <w:r w:rsidRPr="00EC076A">
        <w:rPr>
          <w:b/>
          <w:i/>
          <w:color w:val="231F20"/>
          <w:w w:val="85"/>
          <w:sz w:val="16"/>
        </w:rPr>
        <w:t xml:space="preserve"> </w:t>
      </w:r>
      <w:proofErr w:type="spellStart"/>
      <w:r w:rsidRPr="00EC076A">
        <w:rPr>
          <w:b/>
          <w:i/>
          <w:color w:val="231F20"/>
          <w:w w:val="85"/>
          <w:sz w:val="16"/>
        </w:rPr>
        <w:t>химия</w:t>
      </w:r>
      <w:proofErr w:type="spellEnd"/>
      <w:r w:rsidRPr="00EC076A">
        <w:rPr>
          <w:b/>
          <w:i/>
          <w:color w:val="231F20"/>
          <w:w w:val="85"/>
          <w:sz w:val="16"/>
        </w:rPr>
        <w:t>.</w:t>
      </w:r>
      <w:proofErr w:type="gramEnd"/>
      <w:r w:rsidRPr="00EC076A">
        <w:rPr>
          <w:b/>
          <w:i/>
          <w:color w:val="231F20"/>
          <w:w w:val="85"/>
          <w:sz w:val="16"/>
        </w:rPr>
        <w:t xml:space="preserve"> 2002; 48(7): 1066-1076.</w:t>
      </w: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spacing w:before="8"/>
        <w:rPr>
          <w:i/>
          <w:sz w:val="16"/>
        </w:rPr>
      </w:pPr>
    </w:p>
    <w:p w:rsidR="00EC076A" w:rsidRDefault="00EC076A">
      <w:pPr>
        <w:spacing w:line="259" w:lineRule="auto"/>
        <w:ind w:left="1225" w:right="2733" w:hanging="262"/>
        <w:rPr>
          <w:b/>
          <w:i/>
          <w:color w:val="231F20"/>
          <w:w w:val="85"/>
          <w:sz w:val="16"/>
          <w:lang w:val="ru-RU"/>
        </w:rPr>
      </w:pPr>
    </w:p>
    <w:p w:rsidR="00E30930" w:rsidRPr="00EC076A" w:rsidRDefault="00EC076A" w:rsidP="00EC076A">
      <w:pPr>
        <w:spacing w:line="259" w:lineRule="auto"/>
        <w:ind w:left="1225" w:right="2733" w:hanging="262"/>
        <w:rPr>
          <w:i/>
          <w:sz w:val="18"/>
        </w:rPr>
      </w:pPr>
      <w:r>
        <w:pict>
          <v:group id="_x0000_s1027" style="position:absolute;left:0;text-align:left;margin-left:0;margin-top:37.8pt;width:595.3pt;height:56.7pt;z-index:15731200;mso-position-horizontal-relative:page" coordorigin=",756" coordsize="11906,1134">
            <v:shape id="_x0000_s1030" type="#_x0000_t75" style="position:absolute;top:756;width:11906;height:1134">
              <v:imagedata r:id="rId13" o:title=""/>
            </v:shape>
            <v:shape id="_x0000_s1029" type="#_x0000_t75" style="position:absolute;left:10034;top:869;width:908;height:908">
              <v:imagedata r:id="rId20" o:title=""/>
            </v:shape>
            <v:shape id="_x0000_s1028" type="#_x0000_t202" style="position:absolute;top:756;width:11906;height:1134" filled="f" stroked="f">
              <v:textbox inset="0,0,0,0">
                <w:txbxContent>
                  <w:p w:rsidR="00E30930" w:rsidRDefault="00E30930">
                    <w:pPr>
                      <w:rPr>
                        <w:b/>
                        <w:sz w:val="18"/>
                      </w:rPr>
                    </w:pPr>
                  </w:p>
                  <w:p w:rsidR="00E30930" w:rsidRDefault="00E30930">
                    <w:pPr>
                      <w:spacing w:before="5"/>
                      <w:rPr>
                        <w:b/>
                        <w:sz w:val="14"/>
                      </w:rPr>
                    </w:pPr>
                  </w:p>
                  <w:p w:rsidR="00E30930" w:rsidRPr="00EC076A" w:rsidRDefault="00EC076A">
                    <w:pPr>
                      <w:spacing w:before="1" w:line="259" w:lineRule="auto"/>
                      <w:ind w:left="1190" w:right="1905" w:hanging="227"/>
                      <w:rPr>
                        <w:sz w:val="16"/>
                      </w:rPr>
                    </w:pPr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>[8]</w:t>
                    </w:r>
                    <w:r w:rsidRPr="00EC076A">
                      <w:rPr>
                        <w:b/>
                        <w:i/>
                        <w:color w:val="231F20"/>
                        <w:spacing w:val="7"/>
                        <w:w w:val="85"/>
                        <w:sz w:val="16"/>
                        <w:lang w:val="ru-RU"/>
                      </w:rPr>
                      <w:t xml:space="preserve"> </w:t>
                    </w:r>
                    <w:proofErr w:type="spellStart"/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>Муньос</w:t>
                    </w:r>
                    <w:proofErr w:type="spellEnd"/>
                    <w:r w:rsidRPr="00EC076A">
                      <w:rPr>
                        <w:b/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М. и др. (2018): </w:t>
                    </w:r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Международное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>консенсусное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  <w:lang w:val="ru-RU"/>
                      </w:rPr>
                      <w:t xml:space="preserve"> заявление по лечению послеоперационной анемии после серьезных хирургических вмешательств. </w:t>
                    </w:r>
                    <w:proofErr w:type="spellStart"/>
                    <w:r w:rsidRPr="00EC076A">
                      <w:rPr>
                        <w:i/>
                        <w:color w:val="231F20"/>
                        <w:w w:val="85"/>
                        <w:sz w:val="16"/>
                      </w:rPr>
                      <w:t>Анестезия</w:t>
                    </w:r>
                    <w:proofErr w:type="spellEnd"/>
                    <w:r w:rsidRPr="00EC076A">
                      <w:rPr>
                        <w:i/>
                        <w:color w:val="231F20"/>
                        <w:w w:val="85"/>
                        <w:sz w:val="16"/>
                      </w:rPr>
                      <w:t>. 2018; 73(11): 1418-1431.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 wp14:anchorId="69BBA455" wp14:editId="5E9C43F8">
            <wp:simplePos x="0" y="0"/>
            <wp:positionH relativeFrom="page">
              <wp:posOffset>6391783</wp:posOffset>
            </wp:positionH>
            <wp:positionV relativeFrom="paragraph">
              <wp:posOffset>-148660</wp:posOffset>
            </wp:positionV>
            <wp:extent cx="537210" cy="537210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076A">
        <w:rPr>
          <w:b/>
          <w:i/>
          <w:color w:val="231F20"/>
          <w:w w:val="85"/>
          <w:sz w:val="16"/>
          <w:lang w:val="ru-RU"/>
        </w:rPr>
        <w:t>[7]</w:t>
      </w:r>
      <w:r w:rsidRPr="00EC076A">
        <w:rPr>
          <w:b/>
          <w:i/>
          <w:color w:val="231F20"/>
          <w:spacing w:val="1"/>
          <w:w w:val="85"/>
          <w:sz w:val="16"/>
          <w:lang w:val="ru-RU"/>
        </w:rPr>
        <w:t xml:space="preserve">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Фернандес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 Р. и </w:t>
      </w:r>
      <w:proofErr w:type="spellStart"/>
      <w:r w:rsidRPr="00EC076A">
        <w:rPr>
          <w:b/>
          <w:i/>
          <w:color w:val="231F20"/>
          <w:w w:val="85"/>
          <w:sz w:val="16"/>
          <w:lang w:val="ru-RU"/>
        </w:rPr>
        <w:t>соавт</w:t>
      </w:r>
      <w:proofErr w:type="spellEnd"/>
      <w:r w:rsidRPr="00EC076A">
        <w:rPr>
          <w:b/>
          <w:i/>
          <w:color w:val="231F20"/>
          <w:w w:val="85"/>
          <w:sz w:val="16"/>
          <w:lang w:val="ru-RU"/>
        </w:rPr>
        <w:t xml:space="preserve">. (2010): </w:t>
      </w:r>
      <w:r w:rsidRPr="00EC076A">
        <w:rPr>
          <w:i/>
          <w:color w:val="231F20"/>
          <w:w w:val="85"/>
          <w:sz w:val="16"/>
          <w:lang w:val="ru-RU"/>
        </w:rPr>
        <w:t xml:space="preserve">Низкое содержание гемоглобина в </w:t>
      </w:r>
      <w:proofErr w:type="spellStart"/>
      <w:r w:rsidRPr="00EC076A">
        <w:rPr>
          <w:i/>
          <w:color w:val="231F20"/>
          <w:w w:val="85"/>
          <w:sz w:val="16"/>
          <w:lang w:val="ru-RU"/>
        </w:rPr>
        <w:t>ретикулоцитах</w:t>
      </w:r>
      <w:proofErr w:type="spellEnd"/>
      <w:r w:rsidRPr="00EC076A">
        <w:rPr>
          <w:i/>
          <w:color w:val="231F20"/>
          <w:w w:val="85"/>
          <w:sz w:val="16"/>
          <w:lang w:val="ru-RU"/>
        </w:rPr>
        <w:t xml:space="preserve"> связано с более высокой частотой переливания крови у пациентов в критическом состоянии: </w:t>
      </w:r>
      <w:proofErr w:type="spellStart"/>
      <w:r w:rsidRPr="00EC076A">
        <w:rPr>
          <w:i/>
          <w:color w:val="231F20"/>
          <w:w w:val="85"/>
          <w:sz w:val="16"/>
          <w:lang w:val="ru-RU"/>
        </w:rPr>
        <w:t>когортное</w:t>
      </w:r>
      <w:proofErr w:type="spellEnd"/>
      <w:r w:rsidRPr="00EC076A">
        <w:rPr>
          <w:i/>
          <w:color w:val="231F20"/>
          <w:w w:val="85"/>
          <w:sz w:val="16"/>
          <w:lang w:val="ru-RU"/>
        </w:rPr>
        <w:t xml:space="preserve"> исследование. </w:t>
      </w:r>
      <w:proofErr w:type="spellStart"/>
      <w:r w:rsidRPr="00EC076A">
        <w:rPr>
          <w:i/>
          <w:color w:val="231F20"/>
          <w:w w:val="85"/>
          <w:sz w:val="16"/>
        </w:rPr>
        <w:t>Анестезиология</w:t>
      </w:r>
      <w:proofErr w:type="spellEnd"/>
      <w:r w:rsidRPr="00EC076A">
        <w:rPr>
          <w:i/>
          <w:color w:val="231F20"/>
          <w:w w:val="85"/>
          <w:sz w:val="16"/>
        </w:rPr>
        <w:t>. 2010; 112(5): 1211–1215.</w:t>
      </w: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rPr>
          <w:i/>
          <w:sz w:val="18"/>
        </w:rPr>
      </w:pPr>
    </w:p>
    <w:p w:rsidR="00E30930" w:rsidRDefault="00E30930">
      <w:pPr>
        <w:pStyle w:val="a3"/>
        <w:spacing w:before="2"/>
        <w:rPr>
          <w:i/>
          <w:sz w:val="19"/>
        </w:rPr>
      </w:pPr>
    </w:p>
    <w:p w:rsidR="00E30930" w:rsidRDefault="00EC076A">
      <w:pPr>
        <w:spacing w:line="150" w:lineRule="exact"/>
        <w:ind w:left="963"/>
        <w:rPr>
          <w:b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612000</wp:posOffset>
            </wp:positionH>
            <wp:positionV relativeFrom="paragraph">
              <wp:posOffset>-71625</wp:posOffset>
            </wp:positionV>
            <wp:extent cx="6948004" cy="6350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00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left:0;text-align:left;margin-left:575.45pt;margin-top:-61.95pt;width:7.95pt;height:50.5pt;z-index:15734784;mso-position-horizontal-relative:page;mso-position-vertical-relative:text" filled="f" stroked="f">
            <v:textbox style="layout-flow:vertical;mso-layout-flow-alt:bottom-to-top" inset="0,0,0,0">
              <w:txbxContent>
                <w:p w:rsidR="00E30930" w:rsidRDefault="00EC076A">
                  <w:pPr>
                    <w:spacing w:before="19"/>
                    <w:ind w:left="20"/>
                    <w:rPr>
                      <w:sz w:val="10"/>
                    </w:rPr>
                  </w:pPr>
                  <w:r>
                    <w:rPr>
                      <w:color w:val="231F20"/>
                      <w:w w:val="95"/>
                      <w:sz w:val="10"/>
                    </w:rPr>
                    <w:t>ZE004382.EN.N.03/23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231F20"/>
          <w:w w:val="95"/>
          <w:sz w:val="13"/>
        </w:rPr>
        <w:t>Sysmex</w:t>
      </w:r>
      <w:proofErr w:type="spellEnd"/>
      <w:r>
        <w:rPr>
          <w:b/>
          <w:color w:val="231F20"/>
          <w:spacing w:val="-6"/>
          <w:w w:val="95"/>
          <w:sz w:val="13"/>
        </w:rPr>
        <w:t xml:space="preserve"> </w:t>
      </w:r>
      <w:r>
        <w:rPr>
          <w:b/>
          <w:color w:val="231F20"/>
          <w:w w:val="95"/>
          <w:sz w:val="13"/>
        </w:rPr>
        <w:t>Europe</w:t>
      </w:r>
      <w:r>
        <w:rPr>
          <w:b/>
          <w:color w:val="231F20"/>
          <w:spacing w:val="-6"/>
          <w:w w:val="95"/>
          <w:sz w:val="13"/>
        </w:rPr>
        <w:t xml:space="preserve"> </w:t>
      </w:r>
      <w:r>
        <w:rPr>
          <w:b/>
          <w:color w:val="231F20"/>
          <w:w w:val="95"/>
          <w:sz w:val="13"/>
        </w:rPr>
        <w:t>SE</w:t>
      </w:r>
    </w:p>
    <w:p w:rsidR="00E30930" w:rsidRDefault="00EC076A">
      <w:pPr>
        <w:spacing w:line="139" w:lineRule="exact"/>
        <w:ind w:left="963"/>
        <w:rPr>
          <w:b/>
          <w:sz w:val="12"/>
        </w:rPr>
      </w:pPr>
      <w:proofErr w:type="spellStart"/>
      <w:r>
        <w:rPr>
          <w:color w:val="231F20"/>
          <w:w w:val="90"/>
          <w:sz w:val="12"/>
        </w:rPr>
        <w:t>Bornbarch</w:t>
      </w:r>
      <w:proofErr w:type="spellEnd"/>
      <w:r>
        <w:rPr>
          <w:color w:val="231F20"/>
          <w:spacing w:val="17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1,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22848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Norderstedt,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Germany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Phone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+49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40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52726-0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Fax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+49</w:t>
      </w:r>
      <w:r>
        <w:rPr>
          <w:color w:val="231F20"/>
          <w:spacing w:val="17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40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52726-100</w:t>
      </w:r>
      <w:r>
        <w:rPr>
          <w:color w:val="231F20"/>
          <w:spacing w:val="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hyperlink r:id="rId23">
        <w:r>
          <w:rPr>
            <w:color w:val="231F20"/>
            <w:w w:val="90"/>
            <w:sz w:val="12"/>
          </w:rPr>
          <w:t>info@sysmex-europe.com</w:t>
        </w:r>
        <w:r>
          <w:rPr>
            <w:color w:val="231F20"/>
            <w:spacing w:val="18"/>
            <w:w w:val="90"/>
            <w:sz w:val="12"/>
          </w:rPr>
          <w:t xml:space="preserve"> </w:t>
        </w:r>
      </w:hyperlink>
      <w:r>
        <w:rPr>
          <w:color w:val="231F20"/>
          <w:w w:val="90"/>
          <w:sz w:val="12"/>
        </w:rPr>
        <w:t>·</w:t>
      </w:r>
      <w:r>
        <w:rPr>
          <w:color w:val="231F20"/>
          <w:spacing w:val="18"/>
          <w:w w:val="90"/>
          <w:sz w:val="12"/>
        </w:rPr>
        <w:t xml:space="preserve"> </w:t>
      </w:r>
      <w:hyperlink r:id="rId24">
        <w:r>
          <w:rPr>
            <w:b/>
            <w:color w:val="0066B3"/>
            <w:w w:val="90"/>
            <w:sz w:val="12"/>
          </w:rPr>
          <w:t>www.sysmex-europe.com</w:t>
        </w:r>
      </w:hyperlink>
    </w:p>
    <w:sectPr w:rsidR="00E30930">
      <w:pgSz w:w="11910" w:h="16840"/>
      <w:pgMar w:top="12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0930"/>
    <w:rsid w:val="00E30930"/>
    <w:rsid w:val="00E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3"/>
      <w:ind w:left="963" w:right="1602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07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76A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3"/>
      <w:ind w:left="963" w:right="1602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C07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76A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hyperlink" Target="http://www.sysmex-europe.com/" TargetMode="External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sysmex-europe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mailto:info@sysmex-europe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2023-05-16T03:11:00Z</dcterms:created>
  <dcterms:modified xsi:type="dcterms:W3CDTF">2023-05-16T03:19:00Z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2023-05-16T00:00:00Z</vt:filetime>
  </property>
</Properties>
</file>