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1E" w:rsidRPr="0085041E" w:rsidRDefault="0085041E" w:rsidP="008504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41E">
        <w:rPr>
          <w:rFonts w:ascii="Times New Roman" w:hAnsi="Times New Roman" w:cs="Times New Roman"/>
          <w:b/>
          <w:sz w:val="28"/>
          <w:szCs w:val="28"/>
        </w:rPr>
        <w:t>День 1 (06.04.19)</w:t>
      </w:r>
    </w:p>
    <w:p w:rsidR="00BC374B" w:rsidRDefault="0085041E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041E">
        <w:rPr>
          <w:rFonts w:ascii="Times New Roman" w:hAnsi="Times New Roman" w:cs="Times New Roman"/>
          <w:sz w:val="28"/>
          <w:szCs w:val="28"/>
        </w:rPr>
        <w:t xml:space="preserve">Ознакомление с правилами работы в КДЛ. Перед началом работы в лаборатории необходимо ознакомиться с правилами техники безопасности. </w:t>
      </w:r>
    </w:p>
    <w:p w:rsidR="00BC374B" w:rsidRDefault="00BC374B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041E" w:rsidRPr="0085041E">
        <w:rPr>
          <w:rFonts w:ascii="Times New Roman" w:hAnsi="Times New Roman" w:cs="Times New Roman"/>
          <w:sz w:val="28"/>
          <w:szCs w:val="28"/>
        </w:rPr>
        <w:t xml:space="preserve">Каждый работающий в лаборатории обязан содержать свое рабочее место в чистоте и порядке. Приступая к работе, необходимо ознакомиться с устройством приборов и аппаратов, их принципом действия. Прежде чем приступить к лабораторной работе по данной теме, тщательно изучите ее описание; подготовьте необходимые приборы и реактивы. Внимательно наблюдайте за ходом опыта, отмечая каждую его особенность (выпадение и растворение осадков, изменение окраски, температуры и т.д.). </w:t>
      </w:r>
    </w:p>
    <w:p w:rsidR="00BC374B" w:rsidRDefault="00BC374B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041E" w:rsidRPr="0085041E">
        <w:rPr>
          <w:rFonts w:ascii="Times New Roman" w:hAnsi="Times New Roman" w:cs="Times New Roman"/>
          <w:sz w:val="28"/>
          <w:szCs w:val="28"/>
        </w:rPr>
        <w:t xml:space="preserve">В ходе эксперимента аккуратно ведите записи в рабочем журнале. </w:t>
      </w:r>
    </w:p>
    <w:p w:rsidR="00BC374B" w:rsidRDefault="00BC374B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041E" w:rsidRPr="0085041E">
        <w:rPr>
          <w:rFonts w:ascii="Times New Roman" w:hAnsi="Times New Roman" w:cs="Times New Roman"/>
          <w:sz w:val="28"/>
          <w:szCs w:val="28"/>
        </w:rPr>
        <w:t xml:space="preserve">Категорически запрещается использовать посуду, имеющую трещины или отбитые края. Все флаконы с реактивами в лаборатории должны иметь соответствующие этикетки. После использования раствора флаконы сразу закрываются пробками. Работы с вредными веществами проводить только в вытяжном шкафу. </w:t>
      </w:r>
    </w:p>
    <w:p w:rsidR="00BC374B" w:rsidRDefault="00BC374B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041E" w:rsidRPr="0085041E">
        <w:rPr>
          <w:rFonts w:ascii="Times New Roman" w:hAnsi="Times New Roman" w:cs="Times New Roman"/>
          <w:sz w:val="28"/>
          <w:szCs w:val="28"/>
        </w:rPr>
        <w:t xml:space="preserve">Концентрированные кислоты и щелочи наливать осторожно в вытяжном шкафу. Разбавление кислот производят путем </w:t>
      </w:r>
      <w:proofErr w:type="gramStart"/>
      <w:r w:rsidR="0085041E" w:rsidRPr="0085041E">
        <w:rPr>
          <w:rFonts w:ascii="Times New Roman" w:hAnsi="Times New Roman" w:cs="Times New Roman"/>
          <w:sz w:val="28"/>
          <w:szCs w:val="28"/>
        </w:rPr>
        <w:t>осторожного</w:t>
      </w:r>
      <w:proofErr w:type="gramEnd"/>
      <w:r w:rsidR="0085041E" w:rsidRPr="00850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41E" w:rsidRPr="0085041E">
        <w:rPr>
          <w:rFonts w:ascii="Times New Roman" w:hAnsi="Times New Roman" w:cs="Times New Roman"/>
          <w:sz w:val="28"/>
          <w:szCs w:val="28"/>
        </w:rPr>
        <w:t>приливания</w:t>
      </w:r>
      <w:proofErr w:type="spellEnd"/>
      <w:r w:rsidR="0085041E" w:rsidRPr="0085041E">
        <w:rPr>
          <w:rFonts w:ascii="Times New Roman" w:hAnsi="Times New Roman" w:cs="Times New Roman"/>
          <w:sz w:val="28"/>
          <w:szCs w:val="28"/>
        </w:rPr>
        <w:t xml:space="preserve"> кислоты тонкой струйкой по стеклянной палочке в холодную воду при непрерывном помешивании. Растворение щелочей следует проводить в фарфоровой или пластиковой посуде в вытяжном шкафу на поддоне. Куски щелочи запрещается брать руками. Растворение необходимо проводить небольшими порциями при перемешивании. </w:t>
      </w:r>
    </w:p>
    <w:p w:rsidR="006A383A" w:rsidRPr="0085041E" w:rsidRDefault="00BC374B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041E" w:rsidRPr="0085041E">
        <w:rPr>
          <w:rFonts w:ascii="Times New Roman" w:hAnsi="Times New Roman" w:cs="Times New Roman"/>
          <w:sz w:val="28"/>
          <w:szCs w:val="28"/>
        </w:rPr>
        <w:t>При несчастных случаях немедленно заявляйте дежурному лаборанту. В лаборатории имеется медицинская аптечка с необходимыми медикаментами для оказания экстренной помощи.</w:t>
      </w:r>
    </w:p>
    <w:p w:rsidR="0085041E" w:rsidRPr="0085041E" w:rsidRDefault="0085041E" w:rsidP="008504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41E">
        <w:rPr>
          <w:rFonts w:ascii="Times New Roman" w:hAnsi="Times New Roman" w:cs="Times New Roman"/>
          <w:b/>
          <w:sz w:val="28"/>
          <w:szCs w:val="28"/>
        </w:rPr>
        <w:t>День 2 (08.04.19)</w:t>
      </w:r>
    </w:p>
    <w:p w:rsidR="00BC374B" w:rsidRDefault="0085041E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041E">
        <w:rPr>
          <w:rFonts w:ascii="Times New Roman" w:hAnsi="Times New Roman" w:cs="Times New Roman"/>
          <w:sz w:val="28"/>
          <w:szCs w:val="28"/>
        </w:rPr>
        <w:t xml:space="preserve">Подготовка материала к биохимическим исследованиям: прием, маркировка, регистрация биоматериала. Пробирки с образцами венозной крови доставляют </w:t>
      </w:r>
      <w:proofErr w:type="gramStart"/>
      <w:r w:rsidRPr="0085041E">
        <w:rPr>
          <w:rFonts w:ascii="Times New Roman" w:hAnsi="Times New Roman" w:cs="Times New Roman"/>
          <w:sz w:val="28"/>
          <w:szCs w:val="28"/>
        </w:rPr>
        <w:t>в лабораторию в день взятия в штативах в специальных сумках-саквояжах для доставки</w:t>
      </w:r>
      <w:proofErr w:type="gramEnd"/>
      <w:r w:rsidRPr="0085041E">
        <w:rPr>
          <w:rFonts w:ascii="Times New Roman" w:hAnsi="Times New Roman" w:cs="Times New Roman"/>
          <w:sz w:val="28"/>
          <w:szCs w:val="28"/>
        </w:rPr>
        <w:t xml:space="preserve"> биологического материала, в которых пробирки должны находиться в вертикальном положении, а при транспортировке на удаленное расстояние - в специальных контейнерах. </w:t>
      </w:r>
    </w:p>
    <w:p w:rsidR="00BC374B" w:rsidRDefault="00BC374B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5041E" w:rsidRPr="0085041E">
        <w:rPr>
          <w:rFonts w:ascii="Times New Roman" w:hAnsi="Times New Roman" w:cs="Times New Roman"/>
          <w:sz w:val="28"/>
          <w:szCs w:val="28"/>
        </w:rPr>
        <w:t xml:space="preserve">Сотрудник лаборатории, принимающий материал, должен проверить: - правильность оформления направления: в бланке–направлении указываются данные обследуемого (ФИО, возраст, № истории болезни или амбулаторной карты, отделение, назначение); - маркировку пробирок с образцами крови (на них должны быть нанесены код и фамилия больного, идентичные коду и фамилии в бланке направления материала для исследования). </w:t>
      </w:r>
    </w:p>
    <w:p w:rsidR="0085041E" w:rsidRPr="0085041E" w:rsidRDefault="00BC374B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041E" w:rsidRPr="0085041E">
        <w:rPr>
          <w:rFonts w:ascii="Times New Roman" w:hAnsi="Times New Roman" w:cs="Times New Roman"/>
          <w:sz w:val="28"/>
          <w:szCs w:val="28"/>
        </w:rPr>
        <w:t>Лаборант должен зарегистрировать доставленный материал.</w:t>
      </w:r>
    </w:p>
    <w:p w:rsidR="0085041E" w:rsidRPr="0085041E" w:rsidRDefault="0085041E" w:rsidP="0085041E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4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AE9A53" wp14:editId="1C632E48">
            <wp:extent cx="3857296" cy="1944413"/>
            <wp:effectExtent l="0" t="0" r="0" b="0"/>
            <wp:docPr id="1" name="Рисунок 1" descr="ÐÐ°ÑÑÐ¸Ð½ÐºÐ¸ Ð¿Ð¾ Ð·Ð°Ð¿ÑÐ¾ÑÑ Ð¿ÑÐ¾Ð±Ð¸ÑÐºÐ¸ Ñ ÐºÑÐ¾Ð²ÑÑ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ÑÐ¾Ð±Ð¸ÑÐºÐ¸ Ñ ÐºÑÐ¾Ð²ÑÑ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78"/>
                    <a:stretch/>
                  </pic:blipFill>
                  <pic:spPr bwMode="auto">
                    <a:xfrm>
                      <a:off x="0" y="0"/>
                      <a:ext cx="3857717" cy="19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041E" w:rsidRPr="0085041E" w:rsidRDefault="0085041E" w:rsidP="008504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41E">
        <w:rPr>
          <w:rFonts w:ascii="Times New Roman" w:hAnsi="Times New Roman" w:cs="Times New Roman"/>
          <w:b/>
          <w:sz w:val="28"/>
          <w:szCs w:val="28"/>
        </w:rPr>
        <w:t>День 3 (09.04.19)</w:t>
      </w:r>
    </w:p>
    <w:p w:rsidR="0085041E" w:rsidRDefault="0085041E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041E">
        <w:rPr>
          <w:rFonts w:ascii="Times New Roman" w:hAnsi="Times New Roman" w:cs="Times New Roman"/>
          <w:sz w:val="28"/>
          <w:szCs w:val="28"/>
        </w:rPr>
        <w:t xml:space="preserve">Определение биохимических показателей в биологических жидкостях. Определение белков плазмы крови: </w:t>
      </w:r>
    </w:p>
    <w:p w:rsidR="0085041E" w:rsidRDefault="0085041E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5041E">
        <w:rPr>
          <w:rFonts w:ascii="Times New Roman" w:hAnsi="Times New Roman" w:cs="Times New Roman"/>
          <w:sz w:val="28"/>
          <w:szCs w:val="28"/>
        </w:rPr>
        <w:t>Гликозилированный</w:t>
      </w:r>
      <w:proofErr w:type="spellEnd"/>
      <w:r w:rsidRPr="00850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41E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Pr="0085041E">
        <w:rPr>
          <w:rFonts w:ascii="Times New Roman" w:hAnsi="Times New Roman" w:cs="Times New Roman"/>
          <w:sz w:val="28"/>
          <w:szCs w:val="28"/>
        </w:rPr>
        <w:t xml:space="preserve"> (НвА1с) – гемоглобин, образуется </w:t>
      </w:r>
      <w:proofErr w:type="spellStart"/>
      <w:r w:rsidRPr="0085041E">
        <w:rPr>
          <w:rFonts w:ascii="Times New Roman" w:hAnsi="Times New Roman" w:cs="Times New Roman"/>
          <w:sz w:val="28"/>
          <w:szCs w:val="28"/>
        </w:rPr>
        <w:t>посттрансляционно</w:t>
      </w:r>
      <w:proofErr w:type="spellEnd"/>
      <w:r w:rsidRPr="008504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041E">
        <w:rPr>
          <w:rFonts w:ascii="Times New Roman" w:hAnsi="Times New Roman" w:cs="Times New Roman"/>
          <w:sz w:val="28"/>
          <w:szCs w:val="28"/>
        </w:rPr>
        <w:t>вследствии</w:t>
      </w:r>
      <w:proofErr w:type="spellEnd"/>
      <w:r w:rsidRPr="0085041E">
        <w:rPr>
          <w:rFonts w:ascii="Times New Roman" w:hAnsi="Times New Roman" w:cs="Times New Roman"/>
          <w:sz w:val="28"/>
          <w:szCs w:val="28"/>
        </w:rPr>
        <w:t xml:space="preserve"> «нагрузки» обычного </w:t>
      </w:r>
      <w:proofErr w:type="spellStart"/>
      <w:r w:rsidRPr="0085041E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Pr="0085041E">
        <w:rPr>
          <w:rFonts w:ascii="Times New Roman" w:hAnsi="Times New Roman" w:cs="Times New Roman"/>
          <w:sz w:val="28"/>
          <w:szCs w:val="28"/>
        </w:rPr>
        <w:t xml:space="preserve"> глюкозой. Проводят для ранней диагностики сахарного диабета. Норма НвА1с – 4-5,5% от общего </w:t>
      </w:r>
      <w:proofErr w:type="spellStart"/>
      <w:r w:rsidRPr="0085041E">
        <w:rPr>
          <w:rFonts w:ascii="Times New Roman" w:hAnsi="Times New Roman" w:cs="Times New Roman"/>
          <w:sz w:val="28"/>
          <w:szCs w:val="28"/>
        </w:rPr>
        <w:t>Нв</w:t>
      </w:r>
      <w:proofErr w:type="spellEnd"/>
      <w:r w:rsidRPr="0085041E">
        <w:rPr>
          <w:rFonts w:ascii="Times New Roman" w:hAnsi="Times New Roman" w:cs="Times New Roman"/>
          <w:sz w:val="28"/>
          <w:szCs w:val="28"/>
        </w:rPr>
        <w:t xml:space="preserve">. Метод определения </w:t>
      </w:r>
      <w:proofErr w:type="spellStart"/>
      <w:r w:rsidRPr="0085041E">
        <w:rPr>
          <w:rFonts w:ascii="Times New Roman" w:hAnsi="Times New Roman" w:cs="Times New Roman"/>
          <w:sz w:val="28"/>
          <w:szCs w:val="28"/>
        </w:rPr>
        <w:t>гликированного</w:t>
      </w:r>
      <w:proofErr w:type="spellEnd"/>
      <w:r w:rsidRPr="0085041E">
        <w:rPr>
          <w:rFonts w:ascii="Times New Roman" w:hAnsi="Times New Roman" w:cs="Times New Roman"/>
          <w:sz w:val="28"/>
          <w:szCs w:val="28"/>
        </w:rPr>
        <w:t xml:space="preserve"> гемоглобина колориметрически</w:t>
      </w:r>
      <w:proofErr w:type="gramStart"/>
      <w:r w:rsidRPr="0085041E">
        <w:rPr>
          <w:rFonts w:ascii="Times New Roman" w:hAnsi="Times New Roman" w:cs="Times New Roman"/>
          <w:sz w:val="28"/>
          <w:szCs w:val="28"/>
        </w:rPr>
        <w:t>й–</w:t>
      </w:r>
      <w:proofErr w:type="gramEnd"/>
      <w:r w:rsidRPr="0085041E">
        <w:rPr>
          <w:rFonts w:ascii="Times New Roman" w:hAnsi="Times New Roman" w:cs="Times New Roman"/>
          <w:sz w:val="28"/>
          <w:szCs w:val="28"/>
        </w:rPr>
        <w:t xml:space="preserve"> определяют тотальный </w:t>
      </w:r>
      <w:proofErr w:type="spellStart"/>
      <w:r w:rsidRPr="0085041E">
        <w:rPr>
          <w:rFonts w:ascii="Times New Roman" w:hAnsi="Times New Roman" w:cs="Times New Roman"/>
          <w:sz w:val="28"/>
          <w:szCs w:val="28"/>
        </w:rPr>
        <w:t>гликогемоглобин</w:t>
      </w:r>
      <w:proofErr w:type="spellEnd"/>
      <w:r w:rsidRPr="008504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41E" w:rsidRDefault="0085041E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5041E">
        <w:rPr>
          <w:rFonts w:ascii="Times New Roman" w:hAnsi="Times New Roman" w:cs="Times New Roman"/>
          <w:sz w:val="28"/>
          <w:szCs w:val="28"/>
        </w:rPr>
        <w:t>Тропонины</w:t>
      </w:r>
      <w:proofErr w:type="spellEnd"/>
      <w:r w:rsidRPr="0085041E">
        <w:rPr>
          <w:rFonts w:ascii="Times New Roman" w:hAnsi="Times New Roman" w:cs="Times New Roman"/>
          <w:sz w:val="28"/>
          <w:szCs w:val="28"/>
        </w:rPr>
        <w:t xml:space="preserve"> - регуляторный глобулярный белок сердечной мышцы, специфический маркёр повреждения миокарда. Для подтверждения или исключения инфаркта миокарда, уточнения степени поражения сердечной мышцы, выбора тактики лечения, установления </w:t>
      </w:r>
      <w:proofErr w:type="gramStart"/>
      <w:r w:rsidRPr="0085041E">
        <w:rPr>
          <w:rFonts w:ascii="Times New Roman" w:hAnsi="Times New Roman" w:cs="Times New Roman"/>
          <w:sz w:val="28"/>
          <w:szCs w:val="28"/>
        </w:rPr>
        <w:t>рисков развития осложнений заболеваний сердца</w:t>
      </w:r>
      <w:proofErr w:type="gramEnd"/>
      <w:r w:rsidRPr="0085041E">
        <w:rPr>
          <w:rFonts w:ascii="Times New Roman" w:hAnsi="Times New Roman" w:cs="Times New Roman"/>
          <w:sz w:val="28"/>
          <w:szCs w:val="28"/>
        </w:rPr>
        <w:t xml:space="preserve"> используется определение двух видов глобулярного белка — </w:t>
      </w:r>
      <w:proofErr w:type="spellStart"/>
      <w:r w:rsidRPr="0085041E">
        <w:rPr>
          <w:rFonts w:ascii="Times New Roman" w:hAnsi="Times New Roman" w:cs="Times New Roman"/>
          <w:sz w:val="28"/>
          <w:szCs w:val="28"/>
        </w:rPr>
        <w:t>тропонина</w:t>
      </w:r>
      <w:proofErr w:type="spellEnd"/>
      <w:r w:rsidRPr="0085041E">
        <w:rPr>
          <w:rFonts w:ascii="Times New Roman" w:hAnsi="Times New Roman" w:cs="Times New Roman"/>
          <w:sz w:val="28"/>
          <w:szCs w:val="28"/>
        </w:rPr>
        <w:t xml:space="preserve"> I и </w:t>
      </w:r>
      <w:proofErr w:type="spellStart"/>
      <w:r w:rsidRPr="0085041E">
        <w:rPr>
          <w:rFonts w:ascii="Times New Roman" w:hAnsi="Times New Roman" w:cs="Times New Roman"/>
          <w:sz w:val="28"/>
          <w:szCs w:val="28"/>
        </w:rPr>
        <w:t>тропонина</w:t>
      </w:r>
      <w:proofErr w:type="spellEnd"/>
      <w:r w:rsidRPr="0085041E">
        <w:rPr>
          <w:rFonts w:ascii="Times New Roman" w:hAnsi="Times New Roman" w:cs="Times New Roman"/>
          <w:sz w:val="28"/>
          <w:szCs w:val="28"/>
        </w:rPr>
        <w:t xml:space="preserve"> Т. Для анализа на </w:t>
      </w:r>
      <w:proofErr w:type="spellStart"/>
      <w:r w:rsidRPr="0085041E">
        <w:rPr>
          <w:rFonts w:ascii="Times New Roman" w:hAnsi="Times New Roman" w:cs="Times New Roman"/>
          <w:sz w:val="28"/>
          <w:szCs w:val="28"/>
        </w:rPr>
        <w:t>тропонины</w:t>
      </w:r>
      <w:proofErr w:type="spellEnd"/>
      <w:r w:rsidRPr="0085041E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proofErr w:type="spellStart"/>
      <w:r w:rsidRPr="0085041E">
        <w:rPr>
          <w:rFonts w:ascii="Times New Roman" w:hAnsi="Times New Roman" w:cs="Times New Roman"/>
          <w:sz w:val="28"/>
          <w:szCs w:val="28"/>
        </w:rPr>
        <w:t>гепаринизированная</w:t>
      </w:r>
      <w:proofErr w:type="spellEnd"/>
      <w:r w:rsidRPr="0085041E">
        <w:rPr>
          <w:rFonts w:ascii="Times New Roman" w:hAnsi="Times New Roman" w:cs="Times New Roman"/>
          <w:sz w:val="28"/>
          <w:szCs w:val="28"/>
        </w:rPr>
        <w:t xml:space="preserve"> плазма венозной крови. Метод определения уровня </w:t>
      </w:r>
      <w:proofErr w:type="spellStart"/>
      <w:r w:rsidRPr="0085041E">
        <w:rPr>
          <w:rFonts w:ascii="Times New Roman" w:hAnsi="Times New Roman" w:cs="Times New Roman"/>
          <w:sz w:val="28"/>
          <w:szCs w:val="28"/>
        </w:rPr>
        <w:t>Tn</w:t>
      </w:r>
      <w:proofErr w:type="spellEnd"/>
      <w:r w:rsidRPr="0085041E">
        <w:rPr>
          <w:rFonts w:ascii="Times New Roman" w:hAnsi="Times New Roman" w:cs="Times New Roman"/>
          <w:sz w:val="28"/>
          <w:szCs w:val="28"/>
        </w:rPr>
        <w:t xml:space="preserve"> основан на иммунохимическом анализе. Концентрация </w:t>
      </w:r>
      <w:proofErr w:type="spellStart"/>
      <w:r w:rsidRPr="0085041E">
        <w:rPr>
          <w:rFonts w:ascii="Times New Roman" w:hAnsi="Times New Roman" w:cs="Times New Roman"/>
          <w:sz w:val="28"/>
          <w:szCs w:val="28"/>
        </w:rPr>
        <w:t>тропонина</w:t>
      </w:r>
      <w:proofErr w:type="spellEnd"/>
      <w:r w:rsidRPr="0085041E">
        <w:rPr>
          <w:rFonts w:ascii="Times New Roman" w:hAnsi="Times New Roman" w:cs="Times New Roman"/>
          <w:sz w:val="28"/>
          <w:szCs w:val="28"/>
        </w:rPr>
        <w:t xml:space="preserve"> I в крови у человека со здоровым сердцем не превышает 0,026 </w:t>
      </w:r>
      <w:proofErr w:type="spellStart"/>
      <w:r w:rsidRPr="0085041E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85041E">
        <w:rPr>
          <w:rFonts w:ascii="Times New Roman" w:hAnsi="Times New Roman" w:cs="Times New Roman"/>
          <w:sz w:val="28"/>
          <w:szCs w:val="28"/>
        </w:rPr>
        <w:t xml:space="preserve">/мл, </w:t>
      </w:r>
      <w:proofErr w:type="spellStart"/>
      <w:r w:rsidRPr="0085041E">
        <w:rPr>
          <w:rFonts w:ascii="Times New Roman" w:hAnsi="Times New Roman" w:cs="Times New Roman"/>
          <w:sz w:val="28"/>
          <w:szCs w:val="28"/>
        </w:rPr>
        <w:t>тропонина</w:t>
      </w:r>
      <w:proofErr w:type="spellEnd"/>
      <w:proofErr w:type="gramStart"/>
      <w:r w:rsidRPr="0085041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85041E">
        <w:rPr>
          <w:rFonts w:ascii="Times New Roman" w:hAnsi="Times New Roman" w:cs="Times New Roman"/>
          <w:sz w:val="28"/>
          <w:szCs w:val="28"/>
        </w:rPr>
        <w:t xml:space="preserve"> — 0,1 </w:t>
      </w:r>
      <w:proofErr w:type="spellStart"/>
      <w:r w:rsidRPr="0085041E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85041E">
        <w:rPr>
          <w:rFonts w:ascii="Times New Roman" w:hAnsi="Times New Roman" w:cs="Times New Roman"/>
          <w:sz w:val="28"/>
          <w:szCs w:val="28"/>
        </w:rPr>
        <w:t xml:space="preserve">/мл. </w:t>
      </w:r>
    </w:p>
    <w:p w:rsidR="0085041E" w:rsidRDefault="0085041E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5041E">
        <w:rPr>
          <w:rFonts w:ascii="Times New Roman" w:hAnsi="Times New Roman" w:cs="Times New Roman"/>
          <w:sz w:val="28"/>
          <w:szCs w:val="28"/>
        </w:rPr>
        <w:t>С-реактивный</w:t>
      </w:r>
      <w:proofErr w:type="gramEnd"/>
      <w:r w:rsidRPr="0085041E">
        <w:rPr>
          <w:rFonts w:ascii="Times New Roman" w:hAnsi="Times New Roman" w:cs="Times New Roman"/>
          <w:sz w:val="28"/>
          <w:szCs w:val="28"/>
        </w:rPr>
        <w:t xml:space="preserve"> белок (СРБ) - специфический белок, неспецифический индикатор воспаления, которого у здорового человека нет или он </w:t>
      </w:r>
      <w:r w:rsidRPr="0085041E">
        <w:rPr>
          <w:rFonts w:ascii="Times New Roman" w:hAnsi="Times New Roman" w:cs="Times New Roman"/>
          <w:sz w:val="28"/>
          <w:szCs w:val="28"/>
        </w:rPr>
        <w:lastRenderedPageBreak/>
        <w:t xml:space="preserve">присутствует в ничтожно малых количествах. Относится к белкам острой фазы, поэтому используется для диагностики острых воспалительных заболеваний. СРБ в сыворотке здоровых людей обычными методами не обнаруживается. Проба на СРБ становиться положительной в остром периоде многих воспалительных заболеваний, при злокачественных новообразованиях. Так положительные результаты наблюдаются при инфаркте миокарда, ревматизме, системной красной волчанке, инфекционном неспецифическом полиартрите, нефрите, лимфогранулематозе. Для определения </w:t>
      </w:r>
      <w:proofErr w:type="gramStart"/>
      <w:r w:rsidRPr="0085041E">
        <w:rPr>
          <w:rFonts w:ascii="Times New Roman" w:hAnsi="Times New Roman" w:cs="Times New Roman"/>
          <w:sz w:val="28"/>
          <w:szCs w:val="28"/>
        </w:rPr>
        <w:t>С-реактивного</w:t>
      </w:r>
      <w:proofErr w:type="gramEnd"/>
      <w:r w:rsidRPr="0085041E">
        <w:rPr>
          <w:rFonts w:ascii="Times New Roman" w:hAnsi="Times New Roman" w:cs="Times New Roman"/>
          <w:sz w:val="28"/>
          <w:szCs w:val="28"/>
        </w:rPr>
        <w:t xml:space="preserve"> белка используются нефелометрические и турбодиметрические методы, латексный метод. </w:t>
      </w:r>
    </w:p>
    <w:p w:rsidR="0085041E" w:rsidRDefault="0085041E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5041E">
        <w:rPr>
          <w:rFonts w:ascii="Times New Roman" w:hAnsi="Times New Roman" w:cs="Times New Roman"/>
          <w:sz w:val="28"/>
          <w:szCs w:val="28"/>
        </w:rPr>
        <w:t>Прокальцитонин</w:t>
      </w:r>
      <w:proofErr w:type="spellEnd"/>
      <w:r w:rsidRPr="0085041E">
        <w:rPr>
          <w:rFonts w:ascii="Times New Roman" w:hAnsi="Times New Roman" w:cs="Times New Roman"/>
          <w:sz w:val="28"/>
          <w:szCs w:val="28"/>
        </w:rPr>
        <w:t xml:space="preserve"> (ПКТ) - это прародитель </w:t>
      </w:r>
      <w:proofErr w:type="spellStart"/>
      <w:r w:rsidRPr="0085041E">
        <w:rPr>
          <w:rFonts w:ascii="Times New Roman" w:hAnsi="Times New Roman" w:cs="Times New Roman"/>
          <w:sz w:val="28"/>
          <w:szCs w:val="28"/>
        </w:rPr>
        <w:t>кальцитонина</w:t>
      </w:r>
      <w:proofErr w:type="spellEnd"/>
      <w:r w:rsidRPr="0085041E">
        <w:rPr>
          <w:rFonts w:ascii="Times New Roman" w:hAnsi="Times New Roman" w:cs="Times New Roman"/>
          <w:sz w:val="28"/>
          <w:szCs w:val="28"/>
        </w:rPr>
        <w:t xml:space="preserve">, гормонального соединения, продуцируемого С-клетками в щитовидной железе, а также в некоторых других органах. Данный гликопротеин заметно возрастает в крови при инфекционных процессах. В нормальных условиях </w:t>
      </w:r>
      <w:proofErr w:type="spellStart"/>
      <w:r w:rsidRPr="0085041E">
        <w:rPr>
          <w:rFonts w:ascii="Times New Roman" w:hAnsi="Times New Roman" w:cs="Times New Roman"/>
          <w:sz w:val="28"/>
          <w:szCs w:val="28"/>
        </w:rPr>
        <w:t>прокальцитонин</w:t>
      </w:r>
      <w:proofErr w:type="spellEnd"/>
      <w:r w:rsidRPr="0085041E">
        <w:rPr>
          <w:rFonts w:ascii="Times New Roman" w:hAnsi="Times New Roman" w:cs="Times New Roman"/>
          <w:sz w:val="28"/>
          <w:szCs w:val="28"/>
        </w:rPr>
        <w:t xml:space="preserve"> в кровоток практически не попадает и у здоровых людей в плазме крови можно обнаружить только его следы. При системных воспалительных болезнях бактериальной этиологии </w:t>
      </w:r>
      <w:proofErr w:type="spellStart"/>
      <w:r w:rsidRPr="0085041E">
        <w:rPr>
          <w:rFonts w:ascii="Times New Roman" w:hAnsi="Times New Roman" w:cs="Times New Roman"/>
          <w:sz w:val="28"/>
          <w:szCs w:val="28"/>
        </w:rPr>
        <w:t>кальцитонин</w:t>
      </w:r>
      <w:proofErr w:type="spellEnd"/>
      <w:r w:rsidRPr="0085041E">
        <w:rPr>
          <w:rFonts w:ascii="Times New Roman" w:hAnsi="Times New Roman" w:cs="Times New Roman"/>
          <w:sz w:val="28"/>
          <w:szCs w:val="28"/>
        </w:rPr>
        <w:t xml:space="preserve"> начинает синтезироваться не только в щитовидной железе, но еще и в ткани легких, печени, поджелудочной железы, вследствие чего количество </w:t>
      </w:r>
      <w:proofErr w:type="spellStart"/>
      <w:r w:rsidRPr="0085041E">
        <w:rPr>
          <w:rFonts w:ascii="Times New Roman" w:hAnsi="Times New Roman" w:cs="Times New Roman"/>
          <w:sz w:val="28"/>
          <w:szCs w:val="28"/>
        </w:rPr>
        <w:t>прокальцитонина</w:t>
      </w:r>
      <w:proofErr w:type="spellEnd"/>
      <w:r w:rsidRPr="0085041E">
        <w:rPr>
          <w:rFonts w:ascii="Times New Roman" w:hAnsi="Times New Roman" w:cs="Times New Roman"/>
          <w:sz w:val="28"/>
          <w:szCs w:val="28"/>
        </w:rPr>
        <w:t xml:space="preserve"> в крови увеличивается. </w:t>
      </w:r>
    </w:p>
    <w:p w:rsidR="0085041E" w:rsidRDefault="0085041E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5041E">
        <w:rPr>
          <w:rFonts w:ascii="Times New Roman" w:hAnsi="Times New Roman" w:cs="Times New Roman"/>
          <w:sz w:val="28"/>
          <w:szCs w:val="28"/>
        </w:rPr>
        <w:t>Пресепсин</w:t>
      </w:r>
      <w:proofErr w:type="spellEnd"/>
      <w:r w:rsidRPr="0085041E">
        <w:rPr>
          <w:rFonts w:ascii="Times New Roman" w:hAnsi="Times New Roman" w:cs="Times New Roman"/>
          <w:sz w:val="28"/>
          <w:szCs w:val="28"/>
        </w:rPr>
        <w:t xml:space="preserve"> (ПСП) – это новый высокоспецифичный и высокочувствительный маркер сепсиса, представляющий белок, образуемый макрофагами при фагоцитозе инфицирующих бактерий и грибков. Один из механизмов образования ПСП связан с бактериальными фагоцитозами расщеплением СD14 </w:t>
      </w:r>
      <w:proofErr w:type="spellStart"/>
      <w:r w:rsidRPr="0085041E">
        <w:rPr>
          <w:rFonts w:ascii="Times New Roman" w:hAnsi="Times New Roman" w:cs="Times New Roman"/>
          <w:sz w:val="28"/>
          <w:szCs w:val="28"/>
        </w:rPr>
        <w:t>лизосомальными</w:t>
      </w:r>
      <w:proofErr w:type="spellEnd"/>
      <w:r w:rsidRPr="0085041E">
        <w:rPr>
          <w:rFonts w:ascii="Times New Roman" w:hAnsi="Times New Roman" w:cs="Times New Roman"/>
          <w:sz w:val="28"/>
          <w:szCs w:val="28"/>
        </w:rPr>
        <w:t xml:space="preserve"> ферментами. При развитии системных инфекций ПСП повышается раньше, чем другие маркеры сепсиса и независимо от их повышения или снижения. Повышение ПСП сильно связано с повышением риска неблагоприятного исхода, а снижение – с повышением шансов выживания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0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41E" w:rsidRDefault="0085041E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041E">
        <w:rPr>
          <w:rFonts w:ascii="Times New Roman" w:hAnsi="Times New Roman" w:cs="Times New Roman"/>
          <w:sz w:val="28"/>
          <w:szCs w:val="28"/>
        </w:rPr>
        <w:t xml:space="preserve">Кислый </w:t>
      </w:r>
      <w:proofErr w:type="gramStart"/>
      <w:r w:rsidRPr="0085041E">
        <w:rPr>
          <w:rFonts w:ascii="Times New Roman" w:hAnsi="Times New Roman" w:cs="Times New Roman"/>
          <w:sz w:val="28"/>
          <w:szCs w:val="28"/>
        </w:rPr>
        <w:t>а-гликопротеин</w:t>
      </w:r>
      <w:proofErr w:type="gramEnd"/>
      <w:r w:rsidRPr="0085041E">
        <w:rPr>
          <w:rFonts w:ascii="Times New Roman" w:hAnsi="Times New Roman" w:cs="Times New Roman"/>
          <w:sz w:val="28"/>
          <w:szCs w:val="28"/>
        </w:rPr>
        <w:t xml:space="preserve"> - белок острой фазы воспаления, подавляющий иммунную реактивность, изменяющий функциональность тромбоцитов, связывающий гормоны. Его определение в крови применяется для диагностики, мониторинга острых воспалительных процессов, для оценки внутрисосудистого разрушения эритроцитов (в комплексе с тестом на </w:t>
      </w:r>
      <w:proofErr w:type="spellStart"/>
      <w:r w:rsidRPr="0085041E">
        <w:rPr>
          <w:rFonts w:ascii="Times New Roman" w:hAnsi="Times New Roman" w:cs="Times New Roman"/>
          <w:sz w:val="28"/>
          <w:szCs w:val="28"/>
        </w:rPr>
        <w:t>гаптоглобин</w:t>
      </w:r>
      <w:proofErr w:type="spellEnd"/>
      <w:r w:rsidRPr="0085041E">
        <w:rPr>
          <w:rFonts w:ascii="Times New Roman" w:hAnsi="Times New Roman" w:cs="Times New Roman"/>
          <w:sz w:val="28"/>
          <w:szCs w:val="28"/>
        </w:rPr>
        <w:t xml:space="preserve">). Исследование показано пациентам с бактериальной, вирусной инфекцией, ревматизмом, СКВ, болезнью Крона, травмами, перенесшим операцию. </w:t>
      </w:r>
    </w:p>
    <w:p w:rsidR="0085041E" w:rsidRDefault="0085041E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 w:rsidRPr="0085041E">
        <w:rPr>
          <w:rFonts w:ascii="Times New Roman" w:hAnsi="Times New Roman" w:cs="Times New Roman"/>
          <w:sz w:val="28"/>
          <w:szCs w:val="28"/>
        </w:rPr>
        <w:lastRenderedPageBreak/>
        <w:t xml:space="preserve">Биоматериал для анализа – сыворотка крови из вены, метод – </w:t>
      </w:r>
      <w:proofErr w:type="spellStart"/>
      <w:r w:rsidRPr="0085041E">
        <w:rPr>
          <w:rFonts w:ascii="Times New Roman" w:hAnsi="Times New Roman" w:cs="Times New Roman"/>
          <w:sz w:val="28"/>
          <w:szCs w:val="28"/>
        </w:rPr>
        <w:t>иммунотурбидиметрия</w:t>
      </w:r>
      <w:proofErr w:type="spellEnd"/>
      <w:r w:rsidRPr="008504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41E" w:rsidRDefault="0085041E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 w:rsidRPr="0085041E">
        <w:rPr>
          <w:rFonts w:ascii="Times New Roman" w:hAnsi="Times New Roman" w:cs="Times New Roman"/>
          <w:sz w:val="28"/>
          <w:szCs w:val="28"/>
        </w:rPr>
        <w:t xml:space="preserve">В норме итоговое значение находится в диапазоне от 47 до 125 мг/дл. </w:t>
      </w:r>
    </w:p>
    <w:p w:rsidR="0085041E" w:rsidRDefault="0085041E" w:rsidP="008504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41E" w:rsidRDefault="0085041E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041E">
        <w:rPr>
          <w:rFonts w:ascii="Times New Roman" w:hAnsi="Times New Roman" w:cs="Times New Roman"/>
          <w:sz w:val="28"/>
          <w:szCs w:val="28"/>
        </w:rPr>
        <w:t xml:space="preserve">Альфа1-антитрипсин - гликопротеин, основной компонент альфа-1- фракции при электрофорезе белков сыворотки крови. Подавляющая часть альфа-1-антитрипсина сыворотки образуется в печени. Уровень А1АТ повышается при воспалении. Этот белок обладает способностью блокировать активность протеолитических ферментов. Модулирует локальный иммунный ответ, обладает антиоксидантным и антимикробным действием, ингибирует протеолитические ферменты </w:t>
      </w:r>
      <w:proofErr w:type="spellStart"/>
      <w:r w:rsidRPr="0085041E">
        <w:rPr>
          <w:rFonts w:ascii="Times New Roman" w:hAnsi="Times New Roman" w:cs="Times New Roman"/>
          <w:sz w:val="28"/>
          <w:szCs w:val="28"/>
        </w:rPr>
        <w:t>апоптоза</w:t>
      </w:r>
      <w:proofErr w:type="spellEnd"/>
      <w:r w:rsidRPr="0085041E">
        <w:rPr>
          <w:rFonts w:ascii="Times New Roman" w:hAnsi="Times New Roman" w:cs="Times New Roman"/>
          <w:sz w:val="28"/>
          <w:szCs w:val="28"/>
        </w:rPr>
        <w:t xml:space="preserve">. Концентрация А1АТ значительно повышается при остром воспалении, инфекционных заболеваниях, ревматических заболеваниях, повреждении или некрозе тканей, некоторых злокачественных процессах, действии эстрогенов, воспалительном процессе в печени. Исследование выполняется </w:t>
      </w:r>
      <w:proofErr w:type="spellStart"/>
      <w:r w:rsidRPr="0085041E">
        <w:rPr>
          <w:rFonts w:ascii="Times New Roman" w:hAnsi="Times New Roman" w:cs="Times New Roman"/>
          <w:sz w:val="28"/>
          <w:szCs w:val="28"/>
        </w:rPr>
        <w:t>иммунотурбидиметрическим</w:t>
      </w:r>
      <w:proofErr w:type="spellEnd"/>
      <w:r w:rsidRPr="0085041E">
        <w:rPr>
          <w:rFonts w:ascii="Times New Roman" w:hAnsi="Times New Roman" w:cs="Times New Roman"/>
          <w:sz w:val="28"/>
          <w:szCs w:val="28"/>
        </w:rPr>
        <w:t xml:space="preserve"> методом. </w:t>
      </w:r>
    </w:p>
    <w:p w:rsidR="00703DAB" w:rsidRDefault="0085041E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5041E">
        <w:rPr>
          <w:rFonts w:ascii="Times New Roman" w:hAnsi="Times New Roman" w:cs="Times New Roman"/>
          <w:sz w:val="28"/>
          <w:szCs w:val="28"/>
        </w:rPr>
        <w:t>Гаптоглобин</w:t>
      </w:r>
      <w:proofErr w:type="spellEnd"/>
      <w:r w:rsidRPr="0085041E">
        <w:rPr>
          <w:rFonts w:ascii="Times New Roman" w:hAnsi="Times New Roman" w:cs="Times New Roman"/>
          <w:sz w:val="28"/>
          <w:szCs w:val="28"/>
        </w:rPr>
        <w:t xml:space="preserve"> - сывороточный белок, который связывает свободный гемоглобин и предотвращает его выведение из организма. Анализ проводится вместе с исследованиями гемоглобина и эритроцитов, в том числе их незрелых форм. Чаще всего применяется для выявления острых фаз инфекций, воспалений, аутоиммунных и онкологических заболеваний, диагностики гемолитических анемий, оценки степени тяжести внутрисосудистого гемолиза. Результаты исследования также помогают отслеживать состояние пациентов при переливаниях крови и после установки искусственных клапанов сердца. Для анализа используется сыворотка крови из вены. Исследование выполняется </w:t>
      </w:r>
      <w:proofErr w:type="spellStart"/>
      <w:r w:rsidRPr="0085041E">
        <w:rPr>
          <w:rFonts w:ascii="Times New Roman" w:hAnsi="Times New Roman" w:cs="Times New Roman"/>
          <w:sz w:val="28"/>
          <w:szCs w:val="28"/>
        </w:rPr>
        <w:t>иммунотурбидиметрическим</w:t>
      </w:r>
      <w:proofErr w:type="spellEnd"/>
      <w:r w:rsidRPr="0085041E">
        <w:rPr>
          <w:rFonts w:ascii="Times New Roman" w:hAnsi="Times New Roman" w:cs="Times New Roman"/>
          <w:sz w:val="28"/>
          <w:szCs w:val="28"/>
        </w:rPr>
        <w:t xml:space="preserve"> методом. </w:t>
      </w:r>
    </w:p>
    <w:p w:rsidR="00703DAB" w:rsidRDefault="0085041E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 w:rsidRPr="0085041E">
        <w:rPr>
          <w:rFonts w:ascii="Times New Roman" w:hAnsi="Times New Roman" w:cs="Times New Roman"/>
          <w:sz w:val="28"/>
          <w:szCs w:val="28"/>
        </w:rPr>
        <w:t xml:space="preserve">Референсные значения – 0,3–2 г/л. </w:t>
      </w:r>
    </w:p>
    <w:p w:rsidR="00703DAB" w:rsidRDefault="00703DAB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041E" w:rsidRPr="0085041E">
        <w:rPr>
          <w:rFonts w:ascii="Times New Roman" w:hAnsi="Times New Roman" w:cs="Times New Roman"/>
          <w:sz w:val="28"/>
          <w:szCs w:val="28"/>
        </w:rPr>
        <w:t xml:space="preserve">Фибриноген - это предшественник фибрина, основного компонента кровяного сгустка. Представляет собой бесцветный белок, растворенный в плазме крови. Образуется в печени. </w:t>
      </w:r>
    </w:p>
    <w:p w:rsidR="00703DAB" w:rsidRDefault="00703DAB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041E" w:rsidRPr="0085041E">
        <w:rPr>
          <w:rFonts w:ascii="Times New Roman" w:hAnsi="Times New Roman" w:cs="Times New Roman"/>
          <w:sz w:val="28"/>
          <w:szCs w:val="28"/>
        </w:rPr>
        <w:t xml:space="preserve">Гликопротеин. В качестве белка острой фазы фибриноген участвует в воспалительных реакциях, он быстро реагирует на появление очага воспаления или некроза в тканях. Он влияет на скорость оседания эритроцитов (СОЭ) таким образом, что при повышении уровня фибриногена в крови СОЭ увеличивается. Физиологическое повышение уровня </w:t>
      </w:r>
      <w:r w:rsidR="0085041E" w:rsidRPr="0085041E">
        <w:rPr>
          <w:rFonts w:ascii="Times New Roman" w:hAnsi="Times New Roman" w:cs="Times New Roman"/>
          <w:sz w:val="28"/>
          <w:szCs w:val="28"/>
        </w:rPr>
        <w:lastRenderedPageBreak/>
        <w:t xml:space="preserve">фибриногена в крови отмечается при беременности, особенно в третьем триместре. Материал для исследования служит венозная кровь. </w:t>
      </w:r>
    </w:p>
    <w:p w:rsidR="00703DAB" w:rsidRDefault="00703DAB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041E" w:rsidRPr="0085041E">
        <w:rPr>
          <w:rFonts w:ascii="Times New Roman" w:hAnsi="Times New Roman" w:cs="Times New Roman"/>
          <w:sz w:val="28"/>
          <w:szCs w:val="28"/>
        </w:rPr>
        <w:t>Норма: 2,0 - 4,0 г/л.</w:t>
      </w:r>
    </w:p>
    <w:p w:rsidR="00703DAB" w:rsidRPr="00703DAB" w:rsidRDefault="0085041E" w:rsidP="00703DA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03DAB">
        <w:rPr>
          <w:rFonts w:ascii="Times New Roman" w:hAnsi="Times New Roman" w:cs="Times New Roman"/>
          <w:sz w:val="28"/>
          <w:szCs w:val="28"/>
          <w:u w:val="single"/>
        </w:rPr>
        <w:t>Исследования гемостаза:</w:t>
      </w:r>
    </w:p>
    <w:p w:rsidR="00703DAB" w:rsidRDefault="00703DAB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041E" w:rsidRPr="0085041E">
        <w:rPr>
          <w:rFonts w:ascii="Times New Roman" w:hAnsi="Times New Roman" w:cs="Times New Roman"/>
          <w:sz w:val="28"/>
          <w:szCs w:val="28"/>
        </w:rPr>
        <w:t xml:space="preserve">Гемостаз - биологическая система, сохраняющая жидкое состояние крови и предупреждающая или тормозящая кровопотеря путем поддержания целостности сосудистой стенки и образования тромбов в местах повреждения сосудов. </w:t>
      </w:r>
    </w:p>
    <w:p w:rsidR="00703DAB" w:rsidRDefault="00703DAB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041E" w:rsidRPr="0085041E">
        <w:rPr>
          <w:rFonts w:ascii="Times New Roman" w:hAnsi="Times New Roman" w:cs="Times New Roman"/>
          <w:sz w:val="28"/>
          <w:szCs w:val="28"/>
        </w:rPr>
        <w:t xml:space="preserve">АЧТВ – это активированное частичное тромбопластическое время, I фаза внутреннего </w:t>
      </w:r>
      <w:proofErr w:type="spellStart"/>
      <w:r w:rsidR="0085041E" w:rsidRPr="0085041E">
        <w:rPr>
          <w:rFonts w:ascii="Times New Roman" w:hAnsi="Times New Roman" w:cs="Times New Roman"/>
          <w:sz w:val="28"/>
          <w:szCs w:val="28"/>
        </w:rPr>
        <w:t>коагуляционного</w:t>
      </w:r>
      <w:proofErr w:type="spellEnd"/>
      <w:r w:rsidR="0085041E" w:rsidRPr="0085041E">
        <w:rPr>
          <w:rFonts w:ascii="Times New Roman" w:hAnsi="Times New Roman" w:cs="Times New Roman"/>
          <w:sz w:val="28"/>
          <w:szCs w:val="28"/>
        </w:rPr>
        <w:t xml:space="preserve"> механизма. По результатам теста определяют дефицит факторов внутреннего пути свертывания. Удлинение теста может быть вызвано синдромом ДВС (2 фаза), заболеваниями печени; укорочение при признаках развития тромбоза, синдроме ДВС (1 фаза). </w:t>
      </w:r>
    </w:p>
    <w:p w:rsidR="00703DAB" w:rsidRDefault="00703DAB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85041E" w:rsidRPr="0085041E">
        <w:rPr>
          <w:rFonts w:ascii="Times New Roman" w:hAnsi="Times New Roman" w:cs="Times New Roman"/>
          <w:sz w:val="28"/>
          <w:szCs w:val="28"/>
        </w:rPr>
        <w:t>Протромбиновое</w:t>
      </w:r>
      <w:proofErr w:type="spellEnd"/>
      <w:r w:rsidR="0085041E" w:rsidRPr="0085041E">
        <w:rPr>
          <w:rFonts w:ascii="Times New Roman" w:hAnsi="Times New Roman" w:cs="Times New Roman"/>
          <w:sz w:val="28"/>
          <w:szCs w:val="28"/>
        </w:rPr>
        <w:t xml:space="preserve"> время – I фаза внешнего </w:t>
      </w:r>
      <w:proofErr w:type="spellStart"/>
      <w:r w:rsidR="0085041E" w:rsidRPr="0085041E">
        <w:rPr>
          <w:rFonts w:ascii="Times New Roman" w:hAnsi="Times New Roman" w:cs="Times New Roman"/>
          <w:sz w:val="28"/>
          <w:szCs w:val="28"/>
        </w:rPr>
        <w:t>коагуляционного</w:t>
      </w:r>
      <w:proofErr w:type="spellEnd"/>
      <w:r w:rsidR="0085041E" w:rsidRPr="0085041E">
        <w:rPr>
          <w:rFonts w:ascii="Times New Roman" w:hAnsi="Times New Roman" w:cs="Times New Roman"/>
          <w:sz w:val="28"/>
          <w:szCs w:val="28"/>
        </w:rPr>
        <w:t xml:space="preserve"> механизма. Удлинение наблюдается при тяжелых поражения паренхимы печени, недостатке витамина</w:t>
      </w:r>
      <w:proofErr w:type="gramStart"/>
      <w:r w:rsidR="0085041E" w:rsidRPr="0085041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85041E" w:rsidRPr="0085041E">
        <w:rPr>
          <w:rFonts w:ascii="Times New Roman" w:hAnsi="Times New Roman" w:cs="Times New Roman"/>
          <w:sz w:val="28"/>
          <w:szCs w:val="28"/>
        </w:rPr>
        <w:t xml:space="preserve">, синдроме ДВС (2 фаза); укорочение указывает на </w:t>
      </w:r>
      <w:proofErr w:type="spellStart"/>
      <w:r w:rsidR="0085041E" w:rsidRPr="0085041E">
        <w:rPr>
          <w:rFonts w:ascii="Times New Roman" w:hAnsi="Times New Roman" w:cs="Times New Roman"/>
          <w:sz w:val="28"/>
          <w:szCs w:val="28"/>
        </w:rPr>
        <w:t>гиперантикоагуляцию</w:t>
      </w:r>
      <w:proofErr w:type="spellEnd"/>
      <w:r w:rsidR="0085041E" w:rsidRPr="008504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3DAB" w:rsidRDefault="00703DAB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85041E" w:rsidRPr="0085041E">
        <w:rPr>
          <w:rFonts w:ascii="Times New Roman" w:hAnsi="Times New Roman" w:cs="Times New Roman"/>
          <w:sz w:val="28"/>
          <w:szCs w:val="28"/>
        </w:rPr>
        <w:t>Тромбиновое</w:t>
      </w:r>
      <w:proofErr w:type="spellEnd"/>
      <w:r w:rsidR="0085041E" w:rsidRPr="0085041E">
        <w:rPr>
          <w:rFonts w:ascii="Times New Roman" w:hAnsi="Times New Roman" w:cs="Times New Roman"/>
          <w:sz w:val="28"/>
          <w:szCs w:val="28"/>
        </w:rPr>
        <w:t xml:space="preserve"> время – характеризует конечный этап процесса свертывания, 2 фаза </w:t>
      </w:r>
      <w:proofErr w:type="spellStart"/>
      <w:r w:rsidR="0085041E" w:rsidRPr="0085041E">
        <w:rPr>
          <w:rFonts w:ascii="Times New Roman" w:hAnsi="Times New Roman" w:cs="Times New Roman"/>
          <w:sz w:val="28"/>
          <w:szCs w:val="28"/>
        </w:rPr>
        <w:t>коагуляционного</w:t>
      </w:r>
      <w:proofErr w:type="spellEnd"/>
      <w:r w:rsidR="0085041E" w:rsidRPr="0085041E">
        <w:rPr>
          <w:rFonts w:ascii="Times New Roman" w:hAnsi="Times New Roman" w:cs="Times New Roman"/>
          <w:sz w:val="28"/>
          <w:szCs w:val="28"/>
        </w:rPr>
        <w:t xml:space="preserve"> гемостаза. Удлинение при синдроме ДВС (2 фаза), </w:t>
      </w:r>
      <w:proofErr w:type="spellStart"/>
      <w:r w:rsidR="0085041E" w:rsidRPr="0085041E">
        <w:rPr>
          <w:rFonts w:ascii="Times New Roman" w:hAnsi="Times New Roman" w:cs="Times New Roman"/>
          <w:sz w:val="28"/>
          <w:szCs w:val="28"/>
        </w:rPr>
        <w:t>гипофибриногенемии</w:t>
      </w:r>
      <w:proofErr w:type="spellEnd"/>
      <w:r w:rsidR="0085041E" w:rsidRPr="0085041E">
        <w:rPr>
          <w:rFonts w:ascii="Times New Roman" w:hAnsi="Times New Roman" w:cs="Times New Roman"/>
          <w:sz w:val="28"/>
          <w:szCs w:val="28"/>
        </w:rPr>
        <w:t xml:space="preserve">; укорочение при </w:t>
      </w:r>
      <w:proofErr w:type="spellStart"/>
      <w:r w:rsidR="0085041E" w:rsidRPr="0085041E">
        <w:rPr>
          <w:rFonts w:ascii="Times New Roman" w:hAnsi="Times New Roman" w:cs="Times New Roman"/>
          <w:sz w:val="28"/>
          <w:szCs w:val="28"/>
        </w:rPr>
        <w:t>гиперфибриногенемии</w:t>
      </w:r>
      <w:proofErr w:type="spellEnd"/>
      <w:r w:rsidR="0085041E" w:rsidRPr="0085041E">
        <w:rPr>
          <w:rFonts w:ascii="Times New Roman" w:hAnsi="Times New Roman" w:cs="Times New Roman"/>
          <w:sz w:val="28"/>
          <w:szCs w:val="28"/>
        </w:rPr>
        <w:t xml:space="preserve">, синдроме ДВС (1 фаза). </w:t>
      </w:r>
    </w:p>
    <w:p w:rsidR="00703DAB" w:rsidRDefault="00703DAB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041E" w:rsidRPr="0085041E">
        <w:rPr>
          <w:rFonts w:ascii="Times New Roman" w:hAnsi="Times New Roman" w:cs="Times New Roman"/>
          <w:sz w:val="28"/>
          <w:szCs w:val="28"/>
        </w:rPr>
        <w:t xml:space="preserve">Фибриноген – это I фактор свертывания крови, белок острой фазы. Увеличение наблюдается при травмах, воспаления, атеросклерозе; уменьшение при паренхиматозных состояниях печени, синдроме ДВС (2 фаза). </w:t>
      </w:r>
    </w:p>
    <w:p w:rsidR="0085041E" w:rsidRPr="0085041E" w:rsidRDefault="00703DAB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041E" w:rsidRPr="0085041E">
        <w:rPr>
          <w:rFonts w:ascii="Times New Roman" w:hAnsi="Times New Roman" w:cs="Times New Roman"/>
          <w:sz w:val="28"/>
          <w:szCs w:val="28"/>
        </w:rPr>
        <w:t xml:space="preserve">Антитромбин III – это антисвертывающая </w:t>
      </w:r>
      <w:proofErr w:type="spellStart"/>
      <w:r w:rsidR="0085041E" w:rsidRPr="0085041E">
        <w:rPr>
          <w:rFonts w:ascii="Times New Roman" w:hAnsi="Times New Roman" w:cs="Times New Roman"/>
          <w:sz w:val="28"/>
          <w:szCs w:val="28"/>
        </w:rPr>
        <w:t>антикоагуляционная</w:t>
      </w:r>
      <w:proofErr w:type="spellEnd"/>
      <w:r w:rsidR="0085041E" w:rsidRPr="0085041E">
        <w:rPr>
          <w:rFonts w:ascii="Times New Roman" w:hAnsi="Times New Roman" w:cs="Times New Roman"/>
          <w:sz w:val="28"/>
          <w:szCs w:val="28"/>
        </w:rPr>
        <w:t xml:space="preserve"> система. При снижении наблюдаются тромбозы и эмболии. МНО – это международное нормализованное отношение.</w:t>
      </w:r>
    </w:p>
    <w:p w:rsidR="00703DAB" w:rsidRPr="00703DAB" w:rsidRDefault="00703DAB" w:rsidP="00703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DAB">
        <w:rPr>
          <w:rFonts w:ascii="Times New Roman" w:hAnsi="Times New Roman" w:cs="Times New Roman"/>
          <w:b/>
          <w:sz w:val="28"/>
          <w:szCs w:val="28"/>
        </w:rPr>
        <w:t>День 4 (10.04.19)</w:t>
      </w:r>
    </w:p>
    <w:p w:rsidR="00BC374B" w:rsidRDefault="00703DAB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041E" w:rsidRPr="0085041E">
        <w:rPr>
          <w:rFonts w:ascii="Times New Roman" w:hAnsi="Times New Roman" w:cs="Times New Roman"/>
          <w:sz w:val="28"/>
          <w:szCs w:val="28"/>
        </w:rPr>
        <w:t xml:space="preserve">Определение биохимических показателей в биологических жидкостях. Работа на современном биохимическом оборудовании (анализаторы, </w:t>
      </w:r>
      <w:proofErr w:type="spellStart"/>
      <w:r w:rsidR="0085041E" w:rsidRPr="0085041E">
        <w:rPr>
          <w:rFonts w:ascii="Times New Roman" w:hAnsi="Times New Roman" w:cs="Times New Roman"/>
          <w:sz w:val="28"/>
          <w:szCs w:val="28"/>
        </w:rPr>
        <w:t>коагулометры</w:t>
      </w:r>
      <w:proofErr w:type="spellEnd"/>
      <w:r w:rsidR="0085041E" w:rsidRPr="008504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041E" w:rsidRPr="0085041E">
        <w:rPr>
          <w:rFonts w:ascii="Times New Roman" w:hAnsi="Times New Roman" w:cs="Times New Roman"/>
          <w:sz w:val="28"/>
          <w:szCs w:val="28"/>
        </w:rPr>
        <w:t>агрегометры</w:t>
      </w:r>
      <w:proofErr w:type="spellEnd"/>
      <w:r w:rsidR="0085041E" w:rsidRPr="0085041E">
        <w:rPr>
          <w:rFonts w:ascii="Times New Roman" w:hAnsi="Times New Roman" w:cs="Times New Roman"/>
          <w:sz w:val="28"/>
          <w:szCs w:val="28"/>
        </w:rPr>
        <w:t xml:space="preserve">): ACL TOP 500 CTS - это современная система для оценки параметров коагуляции с максимальной автоматизацией процесса и широкими исследовательскими возможностями, оптимальна для </w:t>
      </w:r>
      <w:r w:rsidR="0085041E" w:rsidRPr="0085041E">
        <w:rPr>
          <w:rFonts w:ascii="Times New Roman" w:hAnsi="Times New Roman" w:cs="Times New Roman"/>
          <w:sz w:val="28"/>
          <w:szCs w:val="28"/>
        </w:rPr>
        <w:lastRenderedPageBreak/>
        <w:t xml:space="preserve">лабораторий с потоком по гемостазу около 200 проб в день. Возможно единовременное расположение на борту 40 позиций реагентов и 80 пробирок. </w:t>
      </w:r>
    </w:p>
    <w:p w:rsidR="0085041E" w:rsidRPr="0085041E" w:rsidRDefault="00BC374B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041E" w:rsidRPr="0085041E">
        <w:rPr>
          <w:rFonts w:ascii="Times New Roman" w:hAnsi="Times New Roman" w:cs="Times New Roman"/>
          <w:sz w:val="28"/>
          <w:szCs w:val="28"/>
        </w:rPr>
        <w:t xml:space="preserve">При работе возможно использование закрытых пробирок. Исследовательская панель позволяет проводить полную диагностику системы плазменного гемостаза. Выполняемые исследования: </w:t>
      </w:r>
      <w:proofErr w:type="spellStart"/>
      <w:r w:rsidR="0085041E" w:rsidRPr="0085041E">
        <w:rPr>
          <w:rFonts w:ascii="Times New Roman" w:hAnsi="Times New Roman" w:cs="Times New Roman"/>
          <w:sz w:val="28"/>
          <w:szCs w:val="28"/>
        </w:rPr>
        <w:t>протромбиновое</w:t>
      </w:r>
      <w:proofErr w:type="spellEnd"/>
      <w:r w:rsidR="0085041E" w:rsidRPr="0085041E">
        <w:rPr>
          <w:rFonts w:ascii="Times New Roman" w:hAnsi="Times New Roman" w:cs="Times New Roman"/>
          <w:sz w:val="28"/>
          <w:szCs w:val="28"/>
        </w:rPr>
        <w:t xml:space="preserve"> время, АЧТВ, </w:t>
      </w:r>
      <w:proofErr w:type="spellStart"/>
      <w:r w:rsidR="0085041E" w:rsidRPr="0085041E">
        <w:rPr>
          <w:rFonts w:ascii="Times New Roman" w:hAnsi="Times New Roman" w:cs="Times New Roman"/>
          <w:sz w:val="28"/>
          <w:szCs w:val="28"/>
        </w:rPr>
        <w:t>тромбиновое</w:t>
      </w:r>
      <w:proofErr w:type="spellEnd"/>
      <w:r w:rsidR="0085041E" w:rsidRPr="0085041E">
        <w:rPr>
          <w:rFonts w:ascii="Times New Roman" w:hAnsi="Times New Roman" w:cs="Times New Roman"/>
          <w:sz w:val="28"/>
          <w:szCs w:val="28"/>
        </w:rPr>
        <w:t xml:space="preserve"> время, фибриноген по </w:t>
      </w:r>
      <w:proofErr w:type="spellStart"/>
      <w:r w:rsidR="0085041E" w:rsidRPr="0085041E">
        <w:rPr>
          <w:rFonts w:ascii="Times New Roman" w:hAnsi="Times New Roman" w:cs="Times New Roman"/>
          <w:sz w:val="28"/>
          <w:szCs w:val="28"/>
        </w:rPr>
        <w:t>Клауссу</w:t>
      </w:r>
      <w:proofErr w:type="spellEnd"/>
      <w:r w:rsidR="0085041E" w:rsidRPr="0085041E">
        <w:rPr>
          <w:rFonts w:ascii="Times New Roman" w:hAnsi="Times New Roman" w:cs="Times New Roman"/>
          <w:sz w:val="28"/>
          <w:szCs w:val="28"/>
        </w:rPr>
        <w:t>, одиночные факторы (VII, X, V, II, XII, XI, IX, VIII), протеин S, протеин</w:t>
      </w:r>
      <w:proofErr w:type="gramStart"/>
      <w:r w:rsidR="0085041E" w:rsidRPr="0085041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85041E" w:rsidRPr="0085041E">
        <w:rPr>
          <w:rFonts w:ascii="Times New Roman" w:hAnsi="Times New Roman" w:cs="Times New Roman"/>
          <w:sz w:val="28"/>
          <w:szCs w:val="28"/>
        </w:rPr>
        <w:t xml:space="preserve">, антитромбин, активность Ха и </w:t>
      </w:r>
      <w:proofErr w:type="spellStart"/>
      <w:r w:rsidR="0085041E" w:rsidRPr="0085041E">
        <w:rPr>
          <w:rFonts w:ascii="Times New Roman" w:hAnsi="Times New Roman" w:cs="Times New Roman"/>
          <w:sz w:val="28"/>
          <w:szCs w:val="28"/>
        </w:rPr>
        <w:t>IIa</w:t>
      </w:r>
      <w:proofErr w:type="spellEnd"/>
      <w:r w:rsidR="0085041E" w:rsidRPr="0085041E">
        <w:rPr>
          <w:rFonts w:ascii="Times New Roman" w:hAnsi="Times New Roman" w:cs="Times New Roman"/>
          <w:sz w:val="28"/>
          <w:szCs w:val="28"/>
        </w:rPr>
        <w:t xml:space="preserve"> факторов, </w:t>
      </w:r>
      <w:proofErr w:type="spellStart"/>
      <w:r w:rsidR="0085041E" w:rsidRPr="0085041E">
        <w:rPr>
          <w:rFonts w:ascii="Times New Roman" w:hAnsi="Times New Roman" w:cs="Times New Roman"/>
          <w:sz w:val="28"/>
          <w:szCs w:val="28"/>
        </w:rPr>
        <w:t>плазминоген</w:t>
      </w:r>
      <w:proofErr w:type="spellEnd"/>
      <w:r w:rsidR="0085041E" w:rsidRPr="0085041E">
        <w:rPr>
          <w:rFonts w:ascii="Times New Roman" w:hAnsi="Times New Roman" w:cs="Times New Roman"/>
          <w:sz w:val="28"/>
          <w:szCs w:val="28"/>
        </w:rPr>
        <w:t>, Д-</w:t>
      </w:r>
      <w:proofErr w:type="spellStart"/>
      <w:r w:rsidR="0085041E" w:rsidRPr="0085041E">
        <w:rPr>
          <w:rFonts w:ascii="Times New Roman" w:hAnsi="Times New Roman" w:cs="Times New Roman"/>
          <w:sz w:val="28"/>
          <w:szCs w:val="28"/>
        </w:rPr>
        <w:t>Димер</w:t>
      </w:r>
      <w:proofErr w:type="spellEnd"/>
      <w:r w:rsidR="0085041E" w:rsidRPr="0085041E">
        <w:rPr>
          <w:rFonts w:ascii="Times New Roman" w:hAnsi="Times New Roman" w:cs="Times New Roman"/>
          <w:sz w:val="28"/>
          <w:szCs w:val="28"/>
        </w:rPr>
        <w:t xml:space="preserve">, ПДФ, фактор </w:t>
      </w:r>
      <w:proofErr w:type="spellStart"/>
      <w:r w:rsidR="0085041E" w:rsidRPr="0085041E">
        <w:rPr>
          <w:rFonts w:ascii="Times New Roman" w:hAnsi="Times New Roman" w:cs="Times New Roman"/>
          <w:sz w:val="28"/>
          <w:szCs w:val="28"/>
        </w:rPr>
        <w:t>Виллебранда</w:t>
      </w:r>
      <w:proofErr w:type="spellEnd"/>
      <w:r w:rsidR="0085041E" w:rsidRPr="0085041E">
        <w:rPr>
          <w:rFonts w:ascii="Times New Roman" w:hAnsi="Times New Roman" w:cs="Times New Roman"/>
          <w:sz w:val="28"/>
          <w:szCs w:val="28"/>
        </w:rPr>
        <w:t>, фактор XIII.</w:t>
      </w:r>
    </w:p>
    <w:p w:rsidR="00703DAB" w:rsidRPr="00703DAB" w:rsidRDefault="00703DAB" w:rsidP="00703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DAB">
        <w:rPr>
          <w:rFonts w:ascii="Times New Roman" w:hAnsi="Times New Roman" w:cs="Times New Roman"/>
          <w:b/>
          <w:sz w:val="28"/>
          <w:szCs w:val="28"/>
        </w:rPr>
        <w:t>День 5 (11.04.19)</w:t>
      </w:r>
    </w:p>
    <w:p w:rsidR="00BC374B" w:rsidRDefault="00703DAB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041E" w:rsidRPr="0085041E">
        <w:rPr>
          <w:rFonts w:ascii="Times New Roman" w:hAnsi="Times New Roman" w:cs="Times New Roman"/>
          <w:sz w:val="28"/>
          <w:szCs w:val="28"/>
        </w:rPr>
        <w:t xml:space="preserve">Регистрация результатов исследования. Журналы регистрации результатов исследования должны иметь регистрационный номер ЛПУ, оформленный титульный лист с указанием ЛПУ, названия лаборатории, групп регистрируемых исследований, дат начала и окончания журнала, должны быть пронумерованы, прошнурованы, скреплены подписью руководителя ЛПУ и печатью. В наименованиях граф (столбцов) результатов должны быть указаны единицы измерения данного показателя. Столбцы результатов каждого вида исследований за каждый день подписываются непосредственным исполнителем вида исследований. </w:t>
      </w:r>
    </w:p>
    <w:p w:rsidR="00BC374B" w:rsidRDefault="00BC374B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041E" w:rsidRPr="0085041E">
        <w:rPr>
          <w:rFonts w:ascii="Times New Roman" w:hAnsi="Times New Roman" w:cs="Times New Roman"/>
          <w:sz w:val="28"/>
          <w:szCs w:val="28"/>
        </w:rPr>
        <w:t xml:space="preserve">Журналы регистрации результатов исследований хранятся в архиве ЛПУ или в КДЛ в течение 3 лет. </w:t>
      </w:r>
    </w:p>
    <w:p w:rsidR="0085041E" w:rsidRPr="0085041E" w:rsidRDefault="00BC374B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041E" w:rsidRPr="0085041E">
        <w:rPr>
          <w:rFonts w:ascii="Times New Roman" w:hAnsi="Times New Roman" w:cs="Times New Roman"/>
          <w:sz w:val="28"/>
          <w:szCs w:val="28"/>
        </w:rPr>
        <w:t xml:space="preserve">Результаты исследований выдаются клинико-диагностической лабораторией на бланках утвержденных образцов, с обязательным указанием единиц измерений, значений диапазона </w:t>
      </w:r>
      <w:proofErr w:type="spellStart"/>
      <w:r w:rsidR="0085041E" w:rsidRPr="0085041E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5041E" w:rsidRPr="0085041E">
        <w:rPr>
          <w:rFonts w:ascii="Times New Roman" w:hAnsi="Times New Roman" w:cs="Times New Roman"/>
          <w:sz w:val="28"/>
          <w:szCs w:val="28"/>
        </w:rPr>
        <w:t xml:space="preserve"> (нормальных) величин, при необходимости, методики определения. Банк результатов исследования датируется и подписывается исполнителем, ответственным сотрудником или заведующим клинико-диагностической лабораторией.</w:t>
      </w:r>
    </w:p>
    <w:p w:rsidR="00703DAB" w:rsidRPr="00703DAB" w:rsidRDefault="00703DAB" w:rsidP="00703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DAB">
        <w:rPr>
          <w:rFonts w:ascii="Times New Roman" w:hAnsi="Times New Roman" w:cs="Times New Roman"/>
          <w:b/>
          <w:sz w:val="28"/>
          <w:szCs w:val="28"/>
        </w:rPr>
        <w:t>День 6 (12.04.19)</w:t>
      </w:r>
    </w:p>
    <w:p w:rsidR="00BC374B" w:rsidRDefault="00703DAB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041E" w:rsidRPr="0085041E">
        <w:rPr>
          <w:rFonts w:ascii="Times New Roman" w:hAnsi="Times New Roman" w:cs="Times New Roman"/>
          <w:sz w:val="28"/>
          <w:szCs w:val="28"/>
        </w:rPr>
        <w:t xml:space="preserve">Выполнение мер санитарно-эпидемиологического режима в КДЛ. Отходы медицинских лабораторий, содержащие биологические жидкости, относятся классу Б. Это </w:t>
      </w:r>
      <w:proofErr w:type="spellStart"/>
      <w:r w:rsidR="0085041E" w:rsidRPr="0085041E">
        <w:rPr>
          <w:rFonts w:ascii="Times New Roman" w:hAnsi="Times New Roman" w:cs="Times New Roman"/>
          <w:sz w:val="28"/>
          <w:szCs w:val="28"/>
        </w:rPr>
        <w:t>эпидемиологически</w:t>
      </w:r>
      <w:proofErr w:type="spellEnd"/>
      <w:r w:rsidR="0085041E" w:rsidRPr="0085041E">
        <w:rPr>
          <w:rFonts w:ascii="Times New Roman" w:hAnsi="Times New Roman" w:cs="Times New Roman"/>
          <w:sz w:val="28"/>
          <w:szCs w:val="28"/>
        </w:rPr>
        <w:t xml:space="preserve"> опасные отходы, инфицированные и потенциально инфицированные, а также материалы и инструменты, загрязненные кровью или другими биожидкостями, отходы клиник</w:t>
      </w:r>
      <w:proofErr w:type="gramStart"/>
      <w:r w:rsidR="0085041E" w:rsidRPr="0085041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5041E" w:rsidRPr="0085041E">
        <w:rPr>
          <w:rFonts w:ascii="Times New Roman" w:hAnsi="Times New Roman" w:cs="Times New Roman"/>
          <w:sz w:val="28"/>
          <w:szCs w:val="28"/>
        </w:rPr>
        <w:t xml:space="preserve"> диагностических лабораторий и микробиологических лабораторий, работающих с микроорганизмами 3–4 групп патогенности (</w:t>
      </w:r>
      <w:proofErr w:type="spellStart"/>
      <w:r w:rsidR="0085041E" w:rsidRPr="0085041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85041E" w:rsidRPr="0085041E">
        <w:rPr>
          <w:rFonts w:ascii="Times New Roman" w:hAnsi="Times New Roman" w:cs="Times New Roman"/>
          <w:sz w:val="28"/>
          <w:szCs w:val="28"/>
        </w:rPr>
        <w:t xml:space="preserve"> </w:t>
      </w:r>
      <w:r w:rsidR="0085041E" w:rsidRPr="0085041E">
        <w:rPr>
          <w:rFonts w:ascii="Times New Roman" w:hAnsi="Times New Roman" w:cs="Times New Roman"/>
          <w:sz w:val="28"/>
          <w:szCs w:val="28"/>
        </w:rPr>
        <w:lastRenderedPageBreak/>
        <w:t xml:space="preserve">2.1.7.2790-10 «Санитарно-эпидемиологические требования к обращению с медицинскими отходами»). </w:t>
      </w:r>
    </w:p>
    <w:p w:rsidR="00BC374B" w:rsidRDefault="00BC374B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041E" w:rsidRPr="0085041E">
        <w:rPr>
          <w:rFonts w:ascii="Times New Roman" w:hAnsi="Times New Roman" w:cs="Times New Roman"/>
          <w:sz w:val="28"/>
          <w:szCs w:val="28"/>
        </w:rPr>
        <w:t>Обеззараживание отходов группы</w:t>
      </w:r>
      <w:proofErr w:type="gramStart"/>
      <w:r w:rsidR="0085041E" w:rsidRPr="0085041E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85041E" w:rsidRPr="0085041E">
        <w:rPr>
          <w:rFonts w:ascii="Times New Roman" w:hAnsi="Times New Roman" w:cs="Times New Roman"/>
          <w:sz w:val="28"/>
          <w:szCs w:val="28"/>
        </w:rPr>
        <w:t xml:space="preserve"> проводится централизованным и децентрализованным способами, химическими и физическими методами. Физические методы предполагают воздействие насыщенным паром под избыточным давлением, температурой, радиационным, электромагнитным излучением, применяются при наличии специального оборудования – установок для обеззараживания медицинских отходов. </w:t>
      </w:r>
    </w:p>
    <w:p w:rsidR="00BC374B" w:rsidRDefault="00BC374B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041E" w:rsidRPr="0085041E">
        <w:rPr>
          <w:rFonts w:ascii="Times New Roman" w:hAnsi="Times New Roman" w:cs="Times New Roman"/>
          <w:sz w:val="28"/>
          <w:szCs w:val="28"/>
        </w:rPr>
        <w:t>После обеззараживания физическими методами и изменения внешнего вида отходов, отходы класса</w:t>
      </w:r>
      <w:proofErr w:type="gramStart"/>
      <w:r w:rsidR="0085041E" w:rsidRPr="0085041E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85041E" w:rsidRPr="0085041E">
        <w:rPr>
          <w:rFonts w:ascii="Times New Roman" w:hAnsi="Times New Roman" w:cs="Times New Roman"/>
          <w:sz w:val="28"/>
          <w:szCs w:val="28"/>
        </w:rPr>
        <w:t xml:space="preserve"> могут быть захоронены на полигонах ТБО (измельчены, прессованы). Химический метод обеззараживания отходов класса</w:t>
      </w:r>
      <w:proofErr w:type="gramStart"/>
      <w:r w:rsidR="0085041E" w:rsidRPr="0085041E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85041E" w:rsidRPr="0085041E">
        <w:rPr>
          <w:rFonts w:ascii="Times New Roman" w:hAnsi="Times New Roman" w:cs="Times New Roman"/>
          <w:sz w:val="28"/>
          <w:szCs w:val="28"/>
        </w:rPr>
        <w:t xml:space="preserve"> предполагает воздействие растворами дезинфицирующих средств, обладающих бактерицидным, </w:t>
      </w:r>
      <w:proofErr w:type="spellStart"/>
      <w:r w:rsidR="0085041E" w:rsidRPr="0085041E">
        <w:rPr>
          <w:rFonts w:ascii="Times New Roman" w:hAnsi="Times New Roman" w:cs="Times New Roman"/>
          <w:sz w:val="28"/>
          <w:szCs w:val="28"/>
        </w:rPr>
        <w:t>вирулицидным</w:t>
      </w:r>
      <w:proofErr w:type="spellEnd"/>
      <w:r w:rsidR="0085041E" w:rsidRPr="008504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041E" w:rsidRPr="0085041E">
        <w:rPr>
          <w:rFonts w:ascii="Times New Roman" w:hAnsi="Times New Roman" w:cs="Times New Roman"/>
          <w:sz w:val="28"/>
          <w:szCs w:val="28"/>
        </w:rPr>
        <w:t>фунгицидным</w:t>
      </w:r>
      <w:proofErr w:type="spellEnd"/>
      <w:r w:rsidR="0085041E" w:rsidRPr="0085041E">
        <w:rPr>
          <w:rFonts w:ascii="Times New Roman" w:hAnsi="Times New Roman" w:cs="Times New Roman"/>
          <w:sz w:val="28"/>
          <w:szCs w:val="28"/>
        </w:rPr>
        <w:t xml:space="preserve"> действием в соответствующих режимах. Осуществляется либо с помощью специальных установок, либо способом погружения отходов в промаркированные емкости с дезинфицирующим раствором в местах их образования. </w:t>
      </w:r>
    </w:p>
    <w:p w:rsidR="0085041E" w:rsidRPr="0085041E" w:rsidRDefault="00BC374B" w:rsidP="00850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85041E" w:rsidRPr="0085041E">
        <w:rPr>
          <w:rFonts w:ascii="Times New Roman" w:hAnsi="Times New Roman" w:cs="Times New Roman"/>
          <w:sz w:val="28"/>
          <w:szCs w:val="28"/>
        </w:rPr>
        <w:t xml:space="preserve">Согласно предписанию </w:t>
      </w:r>
      <w:proofErr w:type="spellStart"/>
      <w:r w:rsidR="0085041E" w:rsidRPr="0085041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85041E" w:rsidRPr="0085041E">
        <w:rPr>
          <w:rFonts w:ascii="Times New Roman" w:hAnsi="Times New Roman" w:cs="Times New Roman"/>
          <w:sz w:val="28"/>
          <w:szCs w:val="28"/>
        </w:rPr>
        <w:t xml:space="preserve"> 2.1.7.2790- 10 жидкие отходы класса</w:t>
      </w:r>
      <w:proofErr w:type="gramStart"/>
      <w:r w:rsidR="0085041E" w:rsidRPr="0085041E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85041E" w:rsidRPr="0085041E">
        <w:rPr>
          <w:rFonts w:ascii="Times New Roman" w:hAnsi="Times New Roman" w:cs="Times New Roman"/>
          <w:sz w:val="28"/>
          <w:szCs w:val="28"/>
        </w:rPr>
        <w:t xml:space="preserve"> (рвотные массы, моча, фекалии и аналогичные биологические жидкости, в том числе и от больных туберкулезом) допускается сливать без предварительного обеззараживания в систему централизованной канализации, то кровь должна пройти обязательное обеззараживание перед утилизацией.</w:t>
      </w:r>
    </w:p>
    <w:sectPr w:rsidR="0085041E" w:rsidRPr="00850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F9"/>
    <w:rsid w:val="003507F9"/>
    <w:rsid w:val="00703DAB"/>
    <w:rsid w:val="007D19E4"/>
    <w:rsid w:val="0085041E"/>
    <w:rsid w:val="00BC374B"/>
    <w:rsid w:val="00CC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2019-06-06T11:00:00Z</dcterms:created>
  <dcterms:modified xsi:type="dcterms:W3CDTF">2019-06-06T11:22:00Z</dcterms:modified>
</cp:coreProperties>
</file>