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0A" w:rsidRPr="00D2630A" w:rsidRDefault="00D2630A" w:rsidP="00D2630A">
      <w:pPr>
        <w:jc w:val="center"/>
        <w:rPr>
          <w:rFonts w:hint="eastAsia"/>
          <w:sz w:val="22"/>
          <w:szCs w:val="22"/>
        </w:rPr>
      </w:pPr>
      <w:r w:rsidRPr="00D2630A">
        <w:rPr>
          <w:rFonts w:ascii="Times New Roman CYR" w:hAnsi="Times New Roman CYR"/>
          <w:bCs/>
          <w:sz w:val="22"/>
          <w:szCs w:val="22"/>
        </w:rPr>
        <w:t xml:space="preserve">Федеральное </w:t>
      </w:r>
      <w:r w:rsidRPr="00D2630A">
        <w:rPr>
          <w:rFonts w:ascii="Times New Roman CYR" w:hAnsi="Times New Roman CYR"/>
          <w:sz w:val="22"/>
          <w:szCs w:val="22"/>
        </w:rPr>
        <w:t>государственное бюджетное образовательное учреждение высшего образования</w:t>
      </w:r>
    </w:p>
    <w:p w:rsidR="00D2630A" w:rsidRPr="00D2630A" w:rsidRDefault="00D2630A" w:rsidP="00D2630A">
      <w:pPr>
        <w:jc w:val="center"/>
        <w:rPr>
          <w:rFonts w:hint="eastAsia"/>
          <w:sz w:val="22"/>
          <w:szCs w:val="22"/>
        </w:rPr>
      </w:pPr>
      <w:r w:rsidRPr="00D2630A">
        <w:rPr>
          <w:rFonts w:ascii="Times New Roman" w:hAnsi="Times New Roman"/>
          <w:sz w:val="22"/>
          <w:szCs w:val="22"/>
        </w:rPr>
        <w:t>"</w:t>
      </w:r>
      <w:r w:rsidRPr="00D2630A">
        <w:rPr>
          <w:rFonts w:ascii="Times New Roman CYR" w:hAnsi="Times New Roman CYR"/>
          <w:sz w:val="22"/>
          <w:szCs w:val="22"/>
        </w:rPr>
        <w:t xml:space="preserve">Красноярский государственный медицинский университет имени профессора </w:t>
      </w:r>
      <w:proofErr w:type="spellStart"/>
      <w:r w:rsidRPr="00D2630A">
        <w:rPr>
          <w:rFonts w:ascii="Times New Roman CYR" w:hAnsi="Times New Roman CYR"/>
          <w:sz w:val="22"/>
          <w:szCs w:val="22"/>
        </w:rPr>
        <w:t>В.Ф.Войно-Ясенецкого</w:t>
      </w:r>
      <w:proofErr w:type="spellEnd"/>
      <w:proofErr w:type="gramStart"/>
      <w:r w:rsidRPr="00D2630A">
        <w:rPr>
          <w:rFonts w:ascii="Times New Roman CYR" w:hAnsi="Times New Roman CYR"/>
          <w:sz w:val="22"/>
          <w:szCs w:val="22"/>
        </w:rPr>
        <w:t>"М</w:t>
      </w:r>
      <w:proofErr w:type="gramEnd"/>
      <w:r w:rsidRPr="00D2630A">
        <w:rPr>
          <w:rFonts w:ascii="Times New Roman CYR" w:hAnsi="Times New Roman CYR"/>
          <w:sz w:val="22"/>
          <w:szCs w:val="22"/>
        </w:rPr>
        <w:t>инистерства здравоохранения Российской Федерации</w:t>
      </w:r>
    </w:p>
    <w:p w:rsidR="00D2630A" w:rsidRDefault="00D2630A" w:rsidP="00D2630A">
      <w:pPr>
        <w:jc w:val="center"/>
        <w:rPr>
          <w:rFonts w:ascii="Times New Roman CYR" w:hAnsi="Times New Roman CYR"/>
          <w:sz w:val="22"/>
          <w:szCs w:val="22"/>
        </w:rPr>
      </w:pPr>
    </w:p>
    <w:p w:rsidR="00D2630A" w:rsidRDefault="00D2630A" w:rsidP="00D2630A">
      <w:pPr>
        <w:jc w:val="center"/>
        <w:rPr>
          <w:rFonts w:ascii="Times New Roman CYR" w:hAnsi="Times New Roman CYR"/>
          <w:sz w:val="22"/>
          <w:szCs w:val="22"/>
        </w:rPr>
      </w:pPr>
    </w:p>
    <w:p w:rsidR="00D2630A" w:rsidRDefault="00D2630A" w:rsidP="00D2630A">
      <w:pPr>
        <w:jc w:val="center"/>
        <w:rPr>
          <w:rFonts w:ascii="Times New Roman CYR" w:hAnsi="Times New Roman CYR"/>
          <w:sz w:val="22"/>
          <w:szCs w:val="22"/>
        </w:rPr>
      </w:pPr>
      <w:r w:rsidRPr="00D2630A">
        <w:rPr>
          <w:rFonts w:ascii="Times New Roman CYR" w:hAnsi="Times New Roman CYR"/>
          <w:sz w:val="22"/>
          <w:szCs w:val="22"/>
        </w:rPr>
        <w:t>К</w:t>
      </w:r>
      <w:r>
        <w:rPr>
          <w:rFonts w:ascii="Times New Roman CYR" w:hAnsi="Times New Roman CYR"/>
          <w:sz w:val="22"/>
          <w:szCs w:val="22"/>
        </w:rPr>
        <w:t>АФЕДРА</w:t>
      </w:r>
    </w:p>
    <w:p w:rsidR="00D2630A" w:rsidRDefault="00D2630A" w:rsidP="00D2630A">
      <w:pPr>
        <w:jc w:val="center"/>
        <w:rPr>
          <w:rFonts w:ascii="Times New Roman CYR" w:hAnsi="Times New Roman CYR"/>
          <w:sz w:val="22"/>
          <w:szCs w:val="22"/>
        </w:rPr>
      </w:pPr>
    </w:p>
    <w:p w:rsidR="00D2630A" w:rsidRDefault="00D2630A" w:rsidP="00D2630A">
      <w:pPr>
        <w:jc w:val="center"/>
        <w:rPr>
          <w:rFonts w:ascii="Times New Roman CYR" w:hAnsi="Times New Roman CYR"/>
          <w:sz w:val="22"/>
          <w:szCs w:val="22"/>
        </w:rPr>
      </w:pPr>
      <w:r w:rsidRPr="00D2630A">
        <w:rPr>
          <w:rFonts w:ascii="Times New Roman CYR" w:hAnsi="Times New Roman CYR"/>
          <w:sz w:val="22"/>
          <w:szCs w:val="22"/>
        </w:rPr>
        <w:t xml:space="preserve"> ЛОР болезней с курсом </w:t>
      </w:r>
      <w:proofErr w:type="gramStart"/>
      <w:r w:rsidRPr="00D2630A">
        <w:rPr>
          <w:rFonts w:ascii="Times New Roman CYR" w:hAnsi="Times New Roman CYR"/>
          <w:sz w:val="22"/>
          <w:szCs w:val="22"/>
        </w:rPr>
        <w:t>ПО</w:t>
      </w:r>
      <w:proofErr w:type="gramEnd"/>
    </w:p>
    <w:p w:rsidR="00D2630A" w:rsidRDefault="00D2630A" w:rsidP="00D2630A">
      <w:pPr>
        <w:jc w:val="center"/>
        <w:rPr>
          <w:rFonts w:ascii="Times New Roman CYR" w:hAnsi="Times New Roman CYR"/>
          <w:sz w:val="22"/>
          <w:szCs w:val="22"/>
        </w:rPr>
      </w:pPr>
    </w:p>
    <w:p w:rsidR="00D2630A" w:rsidRDefault="00D2630A" w:rsidP="00D2630A">
      <w:pPr>
        <w:jc w:val="center"/>
        <w:rPr>
          <w:rFonts w:ascii="Times New Roman CYR" w:hAnsi="Times New Roman CYR"/>
          <w:sz w:val="22"/>
          <w:szCs w:val="22"/>
        </w:rPr>
      </w:pPr>
    </w:p>
    <w:p w:rsidR="000C74A2" w:rsidRDefault="000C74A2" w:rsidP="00D2630A">
      <w:pPr>
        <w:jc w:val="center"/>
        <w:rPr>
          <w:rFonts w:ascii="Times New Roman CYR" w:hAnsi="Times New Roman CYR"/>
          <w:sz w:val="22"/>
          <w:szCs w:val="22"/>
        </w:rPr>
      </w:pPr>
    </w:p>
    <w:p w:rsidR="000C74A2" w:rsidRDefault="000C74A2" w:rsidP="000C74A2">
      <w:pPr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Рецензия  к.м.н., доцента кафедры </w:t>
      </w:r>
      <w:proofErr w:type="spellStart"/>
      <w:r>
        <w:rPr>
          <w:rFonts w:ascii="Times New Roman CYR" w:hAnsi="Times New Roman CYR"/>
          <w:sz w:val="22"/>
          <w:szCs w:val="22"/>
        </w:rPr>
        <w:t>ЛОР-болезней</w:t>
      </w:r>
      <w:proofErr w:type="spellEnd"/>
      <w:r>
        <w:rPr>
          <w:rFonts w:ascii="Times New Roman CYR" w:hAnsi="Times New Roman CYR"/>
          <w:sz w:val="22"/>
          <w:szCs w:val="22"/>
        </w:rPr>
        <w:t xml:space="preserve"> с курсом ПО Петровой М.А, на реферат ординатора первого года обучения специальнос</w:t>
      </w:r>
      <w:r w:rsidR="00155D29">
        <w:rPr>
          <w:rFonts w:ascii="Times New Roman CYR" w:hAnsi="Times New Roman CYR"/>
          <w:sz w:val="22"/>
          <w:szCs w:val="22"/>
        </w:rPr>
        <w:t xml:space="preserve">ти Оториноларингология </w:t>
      </w:r>
      <w:proofErr w:type="spellStart"/>
      <w:r w:rsidR="00155D29">
        <w:rPr>
          <w:rFonts w:ascii="Times New Roman CYR" w:hAnsi="Times New Roman CYR"/>
          <w:sz w:val="22"/>
          <w:szCs w:val="22"/>
        </w:rPr>
        <w:t>Цыбденовой</w:t>
      </w:r>
      <w:proofErr w:type="spellEnd"/>
      <w:r>
        <w:rPr>
          <w:rFonts w:ascii="Times New Roman CYR" w:hAnsi="Times New Roman CYR"/>
          <w:sz w:val="22"/>
          <w:szCs w:val="22"/>
        </w:rPr>
        <w:t xml:space="preserve"> Г.Б, по теме</w:t>
      </w:r>
    </w:p>
    <w:p w:rsidR="000C74A2" w:rsidRDefault="00144228" w:rsidP="000C74A2">
      <w:pPr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«Острый ларингит»</w:t>
      </w:r>
    </w:p>
    <w:p w:rsidR="00144228" w:rsidRDefault="00144228" w:rsidP="000C74A2">
      <w:pPr>
        <w:rPr>
          <w:rFonts w:ascii="Times New Roman CYR" w:hAnsi="Times New Roman CYR"/>
          <w:sz w:val="22"/>
          <w:szCs w:val="22"/>
        </w:rPr>
      </w:pPr>
    </w:p>
    <w:p w:rsidR="000C74A2" w:rsidRDefault="000C74A2" w:rsidP="000C74A2">
      <w:pPr>
        <w:rPr>
          <w:rFonts w:ascii="Times New Roman CYR" w:hAnsi="Times New Roman CYR"/>
          <w:sz w:val="22"/>
          <w:szCs w:val="22"/>
        </w:rPr>
      </w:pPr>
      <w:proofErr w:type="spellStart"/>
      <w:r>
        <w:rPr>
          <w:rFonts w:ascii="Times New Roman CYR" w:hAnsi="Times New Roman CYR"/>
          <w:sz w:val="22"/>
          <w:szCs w:val="22"/>
        </w:rPr>
        <w:t>Рецезия</w:t>
      </w:r>
      <w:proofErr w:type="spellEnd"/>
      <w:r>
        <w:rPr>
          <w:rFonts w:ascii="Times New Roman CYR" w:hAnsi="Times New Roman CYR"/>
          <w:sz w:val="22"/>
          <w:szCs w:val="22"/>
        </w:rPr>
        <w:t xml:space="preserve"> на реферат –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недочетов и рекомендации по оценке. Ознакомившись с рефератом, преподаватель убеждается в том, что ординатор владеет описанным материалом, умеет его анализировать и </w:t>
      </w:r>
      <w:proofErr w:type="gramStart"/>
      <w:r>
        <w:rPr>
          <w:rFonts w:ascii="Times New Roman CYR" w:hAnsi="Times New Roman CYR"/>
          <w:sz w:val="22"/>
          <w:szCs w:val="22"/>
        </w:rPr>
        <w:t>способен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аргументировано защитить свою точку зрения. Написание реферата производиться в произвольной форме, однако автор должен придерживаться определенных негласных требований по содержанию. Для большего удобства, экономии времени и повышении наглядности качества работ, нами были введены стандартизированные критерии оценки рефератов.</w:t>
      </w:r>
    </w:p>
    <w:p w:rsidR="00155D29" w:rsidRDefault="00155D29" w:rsidP="000C74A2">
      <w:pPr>
        <w:rPr>
          <w:rFonts w:ascii="Times New Roman CYR" w:hAnsi="Times New Roman CYR"/>
          <w:sz w:val="22"/>
          <w:szCs w:val="22"/>
        </w:rPr>
      </w:pPr>
    </w:p>
    <w:p w:rsidR="000C74A2" w:rsidRDefault="000C74A2" w:rsidP="000C74A2">
      <w:pPr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Основные оценочные критерии рецензии на реферат ординатора первого года обучения специальности Оториноларингология</w:t>
      </w:r>
    </w:p>
    <w:tbl>
      <w:tblPr>
        <w:tblStyle w:val="a3"/>
        <w:tblW w:w="0" w:type="auto"/>
        <w:tblLook w:val="04A0"/>
      </w:tblPr>
      <w:tblGrid>
        <w:gridCol w:w="6326"/>
        <w:gridCol w:w="3245"/>
      </w:tblGrid>
      <w:tr w:rsidR="000C74A2" w:rsidTr="00155D29">
        <w:tc>
          <w:tcPr>
            <w:tcW w:w="6487" w:type="dxa"/>
          </w:tcPr>
          <w:p w:rsidR="000C74A2" w:rsidRPr="00155D29" w:rsidRDefault="00155D29" w:rsidP="00D2630A">
            <w:pPr>
              <w:jc w:val="center"/>
              <w:rPr>
                <w:rFonts w:hint="eastAsia"/>
              </w:rPr>
            </w:pPr>
            <w:r>
              <w:t>Оценочный критерий</w:t>
            </w:r>
          </w:p>
          <w:p w:rsidR="000C74A2" w:rsidRPr="000C74A2" w:rsidRDefault="000C74A2" w:rsidP="00D2630A"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3084" w:type="dxa"/>
          </w:tcPr>
          <w:p w:rsidR="000C74A2" w:rsidRDefault="00155D29" w:rsidP="00D2630A">
            <w:pPr>
              <w:jc w:val="center"/>
              <w:rPr>
                <w:rFonts w:hint="eastAsia"/>
              </w:rPr>
            </w:pPr>
            <w:r>
              <w:t>Положительный/отрицательный</w:t>
            </w:r>
          </w:p>
        </w:tc>
      </w:tr>
      <w:tr w:rsidR="000C74A2" w:rsidTr="00155D29">
        <w:tc>
          <w:tcPr>
            <w:tcW w:w="6487" w:type="dxa"/>
          </w:tcPr>
          <w:p w:rsidR="000C74A2" w:rsidRPr="00155D29" w:rsidRDefault="00155D29" w:rsidP="00155D29">
            <w:pPr>
              <w:rPr>
                <w:rFonts w:hint="eastAsia"/>
              </w:rPr>
            </w:pPr>
            <w:r>
              <w:t>1.</w:t>
            </w:r>
            <w:r w:rsidRPr="00155D29">
              <w:t>Структурированность</w:t>
            </w:r>
          </w:p>
        </w:tc>
        <w:tc>
          <w:tcPr>
            <w:tcW w:w="3084" w:type="dxa"/>
          </w:tcPr>
          <w:p w:rsidR="000C74A2" w:rsidRDefault="000C74A2" w:rsidP="00D2630A">
            <w:pPr>
              <w:jc w:val="center"/>
              <w:rPr>
                <w:rFonts w:hint="eastAsia"/>
              </w:rPr>
            </w:pPr>
          </w:p>
        </w:tc>
      </w:tr>
      <w:tr w:rsidR="000C74A2" w:rsidTr="00155D29">
        <w:tc>
          <w:tcPr>
            <w:tcW w:w="6487" w:type="dxa"/>
          </w:tcPr>
          <w:p w:rsidR="00155D29" w:rsidRPr="00155D29" w:rsidRDefault="00155D29" w:rsidP="00155D29">
            <w:pPr>
              <w:rPr>
                <w:rFonts w:hint="eastAsia"/>
              </w:rPr>
            </w:pPr>
            <w:r>
              <w:t>2.</w:t>
            </w:r>
            <w:r w:rsidRPr="00155D29">
              <w:t>Наличие орфографических ошибок</w:t>
            </w:r>
          </w:p>
        </w:tc>
        <w:tc>
          <w:tcPr>
            <w:tcW w:w="3084" w:type="dxa"/>
          </w:tcPr>
          <w:p w:rsidR="000C74A2" w:rsidRDefault="000C74A2" w:rsidP="00D2630A">
            <w:pPr>
              <w:jc w:val="center"/>
              <w:rPr>
                <w:rFonts w:hint="eastAsia"/>
              </w:rPr>
            </w:pPr>
          </w:p>
        </w:tc>
      </w:tr>
      <w:tr w:rsidR="000C74A2" w:rsidTr="00155D29">
        <w:tc>
          <w:tcPr>
            <w:tcW w:w="6487" w:type="dxa"/>
          </w:tcPr>
          <w:p w:rsidR="000C74A2" w:rsidRPr="00155D29" w:rsidRDefault="00155D29" w:rsidP="00155D29">
            <w:pPr>
              <w:rPr>
                <w:rFonts w:hint="eastAsia"/>
              </w:rPr>
            </w:pPr>
            <w:r>
              <w:t>3.</w:t>
            </w:r>
            <w:r w:rsidRPr="00155D29">
              <w:t>Соответствие текста реферата по его теме</w:t>
            </w:r>
          </w:p>
        </w:tc>
        <w:tc>
          <w:tcPr>
            <w:tcW w:w="3084" w:type="dxa"/>
          </w:tcPr>
          <w:p w:rsidR="000C74A2" w:rsidRDefault="000C74A2" w:rsidP="00D2630A">
            <w:pPr>
              <w:jc w:val="center"/>
              <w:rPr>
                <w:rFonts w:hint="eastAsia"/>
              </w:rPr>
            </w:pPr>
          </w:p>
        </w:tc>
      </w:tr>
      <w:tr w:rsidR="000C74A2" w:rsidTr="00155D29">
        <w:tc>
          <w:tcPr>
            <w:tcW w:w="6487" w:type="dxa"/>
          </w:tcPr>
          <w:p w:rsidR="000C74A2" w:rsidRDefault="00155D29" w:rsidP="00155D29">
            <w:pPr>
              <w:rPr>
                <w:rFonts w:hint="eastAsia"/>
              </w:rPr>
            </w:pPr>
            <w:r>
              <w:t>4.Владение терминологией</w:t>
            </w:r>
          </w:p>
        </w:tc>
        <w:tc>
          <w:tcPr>
            <w:tcW w:w="3084" w:type="dxa"/>
          </w:tcPr>
          <w:p w:rsidR="000C74A2" w:rsidRDefault="000C74A2" w:rsidP="00D2630A">
            <w:pPr>
              <w:jc w:val="center"/>
              <w:rPr>
                <w:rFonts w:hint="eastAsia"/>
              </w:rPr>
            </w:pPr>
          </w:p>
        </w:tc>
      </w:tr>
      <w:tr w:rsidR="000C74A2" w:rsidTr="00155D29">
        <w:tc>
          <w:tcPr>
            <w:tcW w:w="6487" w:type="dxa"/>
          </w:tcPr>
          <w:p w:rsidR="000C74A2" w:rsidRDefault="00155D29" w:rsidP="00155D29">
            <w:pPr>
              <w:rPr>
                <w:rFonts w:hint="eastAsia"/>
              </w:rPr>
            </w:pPr>
            <w:r>
              <w:t>5.Полнота и глубина основных понятий темы</w:t>
            </w:r>
          </w:p>
        </w:tc>
        <w:tc>
          <w:tcPr>
            <w:tcW w:w="3084" w:type="dxa"/>
          </w:tcPr>
          <w:p w:rsidR="000C74A2" w:rsidRDefault="000C74A2" w:rsidP="00D2630A">
            <w:pPr>
              <w:jc w:val="center"/>
              <w:rPr>
                <w:rFonts w:hint="eastAsia"/>
              </w:rPr>
            </w:pPr>
          </w:p>
        </w:tc>
      </w:tr>
      <w:tr w:rsidR="000C74A2" w:rsidTr="00155D29">
        <w:tc>
          <w:tcPr>
            <w:tcW w:w="6487" w:type="dxa"/>
          </w:tcPr>
          <w:p w:rsidR="000C74A2" w:rsidRDefault="00155D29" w:rsidP="00155D29">
            <w:pPr>
              <w:rPr>
                <w:rFonts w:hint="eastAsia"/>
              </w:rPr>
            </w:pPr>
            <w:r>
              <w:t>6.Логичность доказательной базы</w:t>
            </w:r>
          </w:p>
        </w:tc>
        <w:tc>
          <w:tcPr>
            <w:tcW w:w="3084" w:type="dxa"/>
          </w:tcPr>
          <w:p w:rsidR="000C74A2" w:rsidRDefault="000C74A2" w:rsidP="00D2630A">
            <w:pPr>
              <w:jc w:val="center"/>
              <w:rPr>
                <w:rFonts w:hint="eastAsia"/>
              </w:rPr>
            </w:pPr>
          </w:p>
        </w:tc>
      </w:tr>
      <w:tr w:rsidR="000C74A2" w:rsidTr="00155D29">
        <w:tc>
          <w:tcPr>
            <w:tcW w:w="6487" w:type="dxa"/>
          </w:tcPr>
          <w:p w:rsidR="000C74A2" w:rsidRDefault="00155D29" w:rsidP="00155D29">
            <w:pPr>
              <w:rPr>
                <w:rFonts w:hint="eastAsia"/>
              </w:rPr>
            </w:pPr>
            <w:r>
              <w:t>7.Умение аргументировать основные положения и выводы</w:t>
            </w:r>
          </w:p>
        </w:tc>
        <w:tc>
          <w:tcPr>
            <w:tcW w:w="3084" w:type="dxa"/>
          </w:tcPr>
          <w:p w:rsidR="000C74A2" w:rsidRDefault="000C74A2" w:rsidP="00D2630A">
            <w:pPr>
              <w:jc w:val="center"/>
              <w:rPr>
                <w:rFonts w:hint="eastAsia"/>
              </w:rPr>
            </w:pPr>
          </w:p>
        </w:tc>
      </w:tr>
      <w:tr w:rsidR="000C74A2" w:rsidTr="00155D29">
        <w:tc>
          <w:tcPr>
            <w:tcW w:w="6487" w:type="dxa"/>
          </w:tcPr>
          <w:p w:rsidR="000C74A2" w:rsidRDefault="00155D29" w:rsidP="00155D29">
            <w:pPr>
              <w:rPr>
                <w:rFonts w:hint="eastAsia"/>
              </w:rPr>
            </w:pPr>
            <w:r>
              <w:t>8.Круг использования известных научных источников</w:t>
            </w:r>
          </w:p>
        </w:tc>
        <w:tc>
          <w:tcPr>
            <w:tcW w:w="3084" w:type="dxa"/>
          </w:tcPr>
          <w:p w:rsidR="000C74A2" w:rsidRDefault="000C74A2" w:rsidP="00D2630A">
            <w:pPr>
              <w:jc w:val="center"/>
              <w:rPr>
                <w:rFonts w:hint="eastAsia"/>
              </w:rPr>
            </w:pPr>
          </w:p>
        </w:tc>
      </w:tr>
      <w:tr w:rsidR="000C74A2" w:rsidTr="00155D29">
        <w:tc>
          <w:tcPr>
            <w:tcW w:w="6487" w:type="dxa"/>
          </w:tcPr>
          <w:p w:rsidR="000C74A2" w:rsidRDefault="00155D29" w:rsidP="00155D29">
            <w:pPr>
              <w:rPr>
                <w:rFonts w:hint="eastAsia"/>
              </w:rPr>
            </w:pPr>
            <w:r>
              <w:t>9.Умение сделать общий выход</w:t>
            </w:r>
          </w:p>
        </w:tc>
        <w:tc>
          <w:tcPr>
            <w:tcW w:w="3084" w:type="dxa"/>
          </w:tcPr>
          <w:p w:rsidR="000C74A2" w:rsidRDefault="000C74A2" w:rsidP="00D2630A">
            <w:pPr>
              <w:jc w:val="center"/>
              <w:rPr>
                <w:rFonts w:hint="eastAsia"/>
              </w:rPr>
            </w:pPr>
          </w:p>
        </w:tc>
      </w:tr>
    </w:tbl>
    <w:p w:rsidR="00D2630A" w:rsidRPr="00D2630A" w:rsidRDefault="00D2630A" w:rsidP="00D2630A">
      <w:pPr>
        <w:jc w:val="center"/>
        <w:rPr>
          <w:rFonts w:hint="eastAsia"/>
          <w:sz w:val="22"/>
          <w:szCs w:val="22"/>
        </w:rPr>
      </w:pPr>
    </w:p>
    <w:p w:rsidR="00F05321" w:rsidRDefault="00155D29">
      <w:pPr>
        <w:rPr>
          <w:rFonts w:hint="eastAsia"/>
        </w:rPr>
      </w:pPr>
      <w:r>
        <w:t>Итоговая оценка: положительная/отрицательная</w:t>
      </w:r>
    </w:p>
    <w:p w:rsidR="00155D29" w:rsidRDefault="00155D29">
      <w:pPr>
        <w:rPr>
          <w:rFonts w:hint="eastAsia"/>
        </w:rPr>
      </w:pPr>
    </w:p>
    <w:p w:rsidR="00155D29" w:rsidRDefault="00155D29">
      <w:pPr>
        <w:rPr>
          <w:rFonts w:hint="eastAsia"/>
        </w:rPr>
      </w:pPr>
      <w:r>
        <w:t>Комментарии рецензента:</w:t>
      </w:r>
    </w:p>
    <w:p w:rsidR="00155D29" w:rsidRDefault="00155D29">
      <w:pPr>
        <w:rPr>
          <w:rFonts w:hint="eastAsia"/>
        </w:rPr>
      </w:pPr>
    </w:p>
    <w:p w:rsidR="00155D29" w:rsidRDefault="00155D29">
      <w:pPr>
        <w:rPr>
          <w:rFonts w:hint="eastAsia"/>
        </w:rPr>
      </w:pPr>
    </w:p>
    <w:p w:rsidR="00155D29" w:rsidRDefault="00155D29">
      <w:pPr>
        <w:rPr>
          <w:rFonts w:hint="eastAsia"/>
        </w:rPr>
      </w:pPr>
      <w:r>
        <w:t>Дата:</w:t>
      </w:r>
    </w:p>
    <w:p w:rsidR="00155D29" w:rsidRDefault="00155D29">
      <w:pPr>
        <w:rPr>
          <w:rFonts w:hint="eastAsia"/>
        </w:rPr>
      </w:pPr>
    </w:p>
    <w:p w:rsidR="00155D29" w:rsidRDefault="00155D29">
      <w:pPr>
        <w:rPr>
          <w:rFonts w:hint="eastAsia"/>
        </w:rPr>
      </w:pPr>
      <w:r>
        <w:t>Подпись рецензента:</w:t>
      </w:r>
    </w:p>
    <w:p w:rsidR="00155D29" w:rsidRDefault="00155D29">
      <w:pPr>
        <w:rPr>
          <w:rFonts w:hint="eastAsia"/>
        </w:rPr>
      </w:pPr>
    </w:p>
    <w:p w:rsidR="00155D29" w:rsidRDefault="00155D29">
      <w:pPr>
        <w:rPr>
          <w:rFonts w:hint="eastAsia"/>
        </w:rPr>
      </w:pPr>
      <w:r>
        <w:t>Подпись ординатора:</w:t>
      </w:r>
    </w:p>
    <w:sectPr w:rsidR="00155D29" w:rsidSect="00F0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456D"/>
    <w:multiLevelType w:val="hybridMultilevel"/>
    <w:tmpl w:val="A7B0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30A"/>
    <w:rsid w:val="000C74A2"/>
    <w:rsid w:val="00144228"/>
    <w:rsid w:val="00155D29"/>
    <w:rsid w:val="00156EE9"/>
    <w:rsid w:val="002A7B45"/>
    <w:rsid w:val="002E459D"/>
    <w:rsid w:val="00BE631E"/>
    <w:rsid w:val="00BF01A2"/>
    <w:rsid w:val="00D2630A"/>
    <w:rsid w:val="00E72A2F"/>
    <w:rsid w:val="00F0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0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D29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tsybd</dc:creator>
  <cp:lastModifiedBy>tsybd</cp:lastModifiedBy>
  <cp:revision>5</cp:revision>
  <dcterms:created xsi:type="dcterms:W3CDTF">2022-10-24T13:06:00Z</dcterms:created>
  <dcterms:modified xsi:type="dcterms:W3CDTF">2023-06-26T01:09:00Z</dcterms:modified>
</cp:coreProperties>
</file>