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0"/>
        <w:jc w:val="center"/>
        <w:spacing w:after="0" w:line="100" w:lineRule="atLeast"/>
      </w:pPr>
      <w:r>
        <w:rPr>
          <w:rFonts w:ascii="Times New Roman" w:hAnsi="Times New Roman"/>
          <w:bCs/>
          <w:iCs/>
        </w:rPr>
        <w:t xml:space="preserve">Государственное бюджетное образовательное учреждение </w:t>
      </w:r>
    </w:p>
    <w:p>
      <w:pPr>
        <w:pStyle w:val="a0"/>
        <w:jc w:val="center"/>
        <w:spacing w:after="0" w:line="100" w:lineRule="atLeast"/>
      </w:pPr>
      <w:r>
        <w:rPr>
          <w:rFonts w:ascii="Times New Roman" w:hAnsi="Times New Roman"/>
          <w:bCs/>
          <w:iCs/>
        </w:rPr>
        <w:t xml:space="preserve">высшего профессионального образования «Красноярский государственный медицинский университет </w:t>
      </w:r>
      <w:r>
        <w:rPr>
          <w:rFonts w:ascii="Times New Roman" w:hAnsi="Times New Roman"/>
        </w:rPr>
        <w:t>имени профессора В.Ф. Войно-Ясенецкого</w:t>
      </w:r>
      <w:r>
        <w:rPr>
          <w:rFonts w:ascii="Times New Roman" w:hAnsi="Times New Roman"/>
          <w:bCs/>
          <w:iCs/>
        </w:rPr>
        <w:t>»</w:t>
      </w:r>
    </w:p>
    <w:p>
      <w:pPr>
        <w:pStyle w:val="29"/>
        <w:jc w:val="center"/>
        <w:spacing w:after="0" w:line="100" w:lineRule="atLeast"/>
      </w:pPr>
      <w:r>
        <w:rPr>
          <w:rFonts w:ascii="Times New Roman" w:hAnsi="Times New Roman"/>
          <w:bCs/>
          <w:iCs/>
        </w:rPr>
        <w:t>Министерства здравоохранения Российской Федерации</w:t>
      </w:r>
    </w:p>
    <w:p>
      <w:pPr>
        <w:pStyle w:val="29"/>
        <w:jc w:val="center"/>
        <w:spacing w:after="0" w:line="100" w:lineRule="atLeast"/>
      </w:pPr>
      <w:r>
        <w:rPr>
          <w:rFonts w:ascii="Times New Roman" w:hAnsi="Times New Roman"/>
          <w:bCs/>
          <w:iCs/>
        </w:rPr>
        <w:t>Фармацевтический колледж</w:t>
      </w:r>
    </w:p>
    <w:p>
      <w:pPr>
        <w:pStyle w:val="a0"/>
        <w:jc w:val="right"/>
        <w:tabs>
          <w:tab w:val="center" w:pos="4473"/>
        </w:tabs>
      </w:pPr>
    </w:p>
    <w:p>
      <w:pPr>
        <w:pStyle w:val="21"/>
        <w:ind w:left="0" w:firstLine="0"/>
        <w:jc w:val="center"/>
        <w:numPr>
          <w:ilvl w:val="1"/>
          <w:numId w:val="1"/>
        </w:numPr>
      </w:pPr>
      <w:bookmarkStart w:id="1" w:name="_Toc359316869"/>
      <w:bookmarkEnd w:id="1"/>
      <w:r>
        <w:rPr>
          <w:b/>
          <w:sz w:val="48"/>
          <w:szCs w:val="48"/>
        </w:rPr>
        <w:t>ДНЕВНИК</w:t>
      </w:r>
    </w:p>
    <w:p>
      <w:pPr>
        <w:pStyle w:val="a0"/>
        <w:jc w:val="center"/>
      </w:pPr>
      <w:r>
        <w:rPr>
          <w:rFonts w:ascii="Times New Roman" w:hAnsi="Times New Roman"/>
          <w:b/>
          <w:sz w:val="36"/>
          <w:szCs w:val="36"/>
        </w:rPr>
        <w:t>преддипломной практики</w:t>
      </w:r>
    </w:p>
    <w:p>
      <w:pPr>
        <w:pStyle w:val="a0"/>
        <w:jc w:val="center"/>
      </w:pPr>
    </w:p>
    <w:p>
      <w:pPr>
        <w:pStyle w:val="a0"/>
        <w:jc w:val="center"/>
      </w:pPr>
    </w:p>
    <w:p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Наименование практики «Организация деятельности аптеки и ее структурных подразделений»</w:t>
      </w:r>
    </w:p>
    <w:p>
      <w:pPr>
        <w:pStyle w:val="aff8"/>
        <w:ind w:left="0"/>
      </w:pPr>
    </w:p>
    <w:p>
      <w:pPr>
        <w:pStyle w:val="aff8"/>
        <w:ind w:left="0" w:right="849"/>
        <w:tabs>
          <w:tab w:val="left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Ф.И.О</w:t>
      </w:r>
      <w:r>
        <w:rPr>
          <w:rFonts w:ascii="Times New Roman" w:hAnsi="Times New Roman"/>
          <w:color w:val="000000"/>
          <w:sz w:val="28"/>
          <w:szCs w:val="28"/>
          <w:rtl w:val="off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u w:val="single" w:color="auto"/>
          <w:rtl w:val="off"/>
        </w:rPr>
        <w:t>Хетчикова Маргарита Юрьевна</w:t>
      </w:r>
    </w:p>
    <w:p>
      <w:pPr>
        <w:pStyle w:val="aff8"/>
        <w:ind w:left="1560" w:hanging="993"/>
      </w:pPr>
    </w:p>
    <w:p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 xml:space="preserve">Место прохождения практики </w:t>
      </w:r>
      <w:r>
        <w:rPr>
          <w:rFonts w:ascii="Times New Roman" w:hAnsi="Times New Roman"/>
          <w:color w:val="000000"/>
          <w:sz w:val="28"/>
          <w:szCs w:val="28"/>
          <w:rtl w:val="o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 w:color="auto"/>
          <w:rtl w:val="off"/>
        </w:rPr>
        <w:t>ООО “Гармония здоровья” Аптека №1 Красноярский рабочий, 129 ИНН 2464238470</w:t>
      </w:r>
    </w:p>
    <w:p>
      <w:pPr>
        <w:pStyle w:val="a0"/>
        <w:spacing w:after="0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color w:val="000000"/>
          <w:sz w:val="28"/>
          <w:szCs w:val="27"/>
        </w:rPr>
        <w:t>с «</w:t>
      </w:r>
      <w:r>
        <w:rPr>
          <w:rFonts w:ascii="Times New Roman" w:hAnsi="Times New Roman"/>
          <w:color w:val="000000"/>
          <w:sz w:val="28"/>
          <w:szCs w:val="27"/>
          <w:rtl w:val="off"/>
        </w:rPr>
        <w:t>11.05</w:t>
      </w:r>
      <w:r>
        <w:rPr>
          <w:rFonts w:ascii="Times New Roman" w:hAnsi="Times New Roman"/>
          <w:color w:val="000000"/>
          <w:sz w:val="28"/>
          <w:szCs w:val="27"/>
        </w:rPr>
        <w:t>» 20</w:t>
      </w:r>
      <w:r>
        <w:rPr>
          <w:rFonts w:ascii="Times New Roman" w:hAnsi="Times New Roman"/>
          <w:color w:val="000000"/>
          <w:sz w:val="28"/>
          <w:szCs w:val="27"/>
          <w:rtl w:val="off"/>
        </w:rPr>
        <w:t>20</w:t>
      </w:r>
      <w:r>
        <w:rPr>
          <w:rFonts w:ascii="Times New Roman" w:hAnsi="Times New Roman"/>
          <w:color w:val="000000"/>
          <w:sz w:val="28"/>
          <w:szCs w:val="27"/>
        </w:rPr>
        <w:t>г. по «</w:t>
      </w:r>
      <w:r>
        <w:rPr>
          <w:rFonts w:ascii="Times New Roman" w:hAnsi="Times New Roman"/>
          <w:color w:val="000000"/>
          <w:sz w:val="28"/>
          <w:szCs w:val="27"/>
          <w:rtl w:val="off"/>
        </w:rPr>
        <w:t>23.05</w:t>
      </w:r>
      <w:r>
        <w:rPr>
          <w:rFonts w:ascii="Times New Roman" w:hAnsi="Times New Roman"/>
          <w:color w:val="000000"/>
          <w:sz w:val="28"/>
          <w:szCs w:val="27"/>
        </w:rPr>
        <w:t xml:space="preserve">» </w:t>
      </w:r>
      <w:r>
        <w:rPr>
          <w:rFonts w:ascii="Times New Roman" w:hAnsi="Times New Roman"/>
          <w:color w:val="000000"/>
          <w:sz w:val="28"/>
          <w:szCs w:val="27"/>
          <w:rtl w:val="off"/>
        </w:rPr>
        <w:t>2020</w:t>
      </w:r>
      <w:r>
        <w:rPr>
          <w:rFonts w:ascii="Times New Roman" w:hAnsi="Times New Roman"/>
          <w:color w:val="000000"/>
          <w:sz w:val="28"/>
          <w:szCs w:val="27"/>
        </w:rPr>
        <w:t>г.</w:t>
      </w:r>
    </w:p>
    <w:p>
      <w:pPr>
        <w:pStyle w:val="a0"/>
        <w:spacing w:after="0"/>
        <w:rPr>
          <w:rFonts w:ascii="Times New Roman" w:hAnsi="Times New Roman"/>
          <w:sz w:val="24"/>
        </w:rPr>
      </w:pPr>
    </w:p>
    <w:p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>
      <w:pPr>
        <w:pStyle w:val="a0"/>
        <w:spacing w:after="0"/>
      </w:pPr>
    </w:p>
    <w:p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Общий – Ф.И.О. (его должность)</w:t>
      </w:r>
      <w:r>
        <w:rPr>
          <w:rFonts w:ascii="Times New Roman" w:hAnsi="Times New Roman"/>
          <w:color w:val="000000"/>
          <w:sz w:val="28"/>
          <w:szCs w:val="28"/>
          <w:rtl w:val="o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 w:color="auto"/>
          <w:rtl w:val="off"/>
        </w:rPr>
        <w:t>Насенникова Марина Олеговна</w:t>
      </w:r>
    </w:p>
    <w:p>
      <w:pPr>
        <w:pStyle w:val="a0"/>
        <w:spacing w:after="0"/>
        <w:rPr>
          <w:rFonts w:ascii="Times New Roman" w:hAnsi="Times New Roman"/>
          <w:color w:val="000000"/>
          <w:sz w:val="28"/>
          <w:szCs w:val="28"/>
          <w:rtl w:val="off"/>
        </w:rPr>
      </w:pPr>
      <w:r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</w:t>
      </w:r>
      <w:r>
        <w:rPr>
          <w:rFonts w:ascii="Times New Roman" w:hAnsi="Times New Roman"/>
          <w:color w:val="000000"/>
          <w:sz w:val="28"/>
          <w:szCs w:val="28"/>
          <w:rtl w:val="o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 w:color="auto"/>
          <w:rtl w:val="off"/>
        </w:rPr>
        <w:t>Перегоедова Елена</w:t>
      </w:r>
    </w:p>
    <w:p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Методический – Ф.И.О. (его должность)</w:t>
      </w:r>
      <w:r>
        <w:rPr>
          <w:rFonts w:ascii="Times New Roman" w:hAnsi="Times New Roman"/>
          <w:color w:val="000000"/>
          <w:sz w:val="28"/>
          <w:szCs w:val="28"/>
          <w:rtl w:val="o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 w:color="auto"/>
          <w:rtl w:val="off"/>
        </w:rPr>
        <w:t>Анишева Лидия Анатольевна</w:t>
      </w:r>
    </w:p>
    <w:p>
      <w:pPr>
        <w:pStyle w:val="a0"/>
        <w:jc w:val="center"/>
        <w:spacing w:after="0"/>
      </w:pPr>
    </w:p>
    <w:p>
      <w:pPr>
        <w:pStyle w:val="a0"/>
        <w:jc w:val="center"/>
        <w:spacing w:after="0"/>
      </w:pPr>
    </w:p>
    <w:p>
      <w:pPr>
        <w:pStyle w:val="a0"/>
        <w:jc w:val="center"/>
        <w:spacing w:after="0"/>
      </w:pPr>
    </w:p>
    <w:p>
      <w:pPr>
        <w:pStyle w:val="a0"/>
        <w:jc w:val="center"/>
        <w:spacing w:after="0"/>
      </w:pPr>
    </w:p>
    <w:p>
      <w:pPr>
        <w:pStyle w:val="a0"/>
        <w:jc w:val="center"/>
        <w:spacing w:after="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a0"/>
        <w:jc w:val="center"/>
        <w:spacing w:after="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a0"/>
        <w:jc w:val="center"/>
        <w:spacing w:after="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a0"/>
        <w:jc w:val="center"/>
        <w:spacing w:after="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a0"/>
        <w:jc w:val="center"/>
        <w:spacing w:after="0"/>
        <w:rPr>
          <w:rFonts w:ascii="Times New Roman" w:hAnsi="Times New Roman"/>
          <w:color w:val="000000"/>
          <w:sz w:val="28"/>
          <w:szCs w:val="28"/>
          <w:rtl w:val="off"/>
        </w:rPr>
      </w:pPr>
    </w:p>
    <w:p>
      <w:pPr>
        <w:pStyle w:val="a0"/>
        <w:jc w:val="center"/>
        <w:spacing w:after="0"/>
        <w:rPr>
          <w:rFonts w:ascii="Times New Roman" w:hAnsi="Times New Roman"/>
          <w:color w:val="000000"/>
          <w:sz w:val="28"/>
          <w:szCs w:val="28"/>
          <w:rtl w:val="off"/>
        </w:rPr>
      </w:pPr>
    </w:p>
    <w:p>
      <w:pPr>
        <w:pStyle w:val="a0"/>
        <w:jc w:val="center"/>
        <w:spacing w:after="0"/>
        <w:rPr>
          <w:rFonts w:ascii="Times New Roman" w:hAnsi="Times New Roman"/>
          <w:color w:val="000000"/>
          <w:sz w:val="28"/>
          <w:szCs w:val="28"/>
          <w:rtl w:val="off"/>
        </w:rPr>
      </w:pPr>
    </w:p>
    <w:p>
      <w:pPr>
        <w:pStyle w:val="a0"/>
        <w:jc w:val="center"/>
        <w:spacing w:after="0"/>
        <w:rPr>
          <w:rFonts w:ascii="Times New Roman" w:hAnsi="Times New Roman"/>
          <w:color w:val="000000"/>
          <w:sz w:val="28"/>
          <w:szCs w:val="28"/>
          <w:rtl w:val="off"/>
        </w:rPr>
      </w:pPr>
    </w:p>
    <w:p>
      <w:pPr>
        <w:pStyle w:val="a0"/>
        <w:jc w:val="center"/>
        <w:spacing w:after="0"/>
        <w:rPr>
          <w:rFonts w:ascii="Times New Roman" w:hAnsi="Times New Roman"/>
          <w:color w:val="000000"/>
          <w:sz w:val="28"/>
          <w:szCs w:val="28"/>
          <w:rtl w:val="off"/>
        </w:rPr>
      </w:pPr>
    </w:p>
    <w:p>
      <w:pPr>
        <w:pStyle w:val="a0"/>
        <w:jc w:val="center"/>
        <w:spacing w:after="0"/>
        <w:rPr>
          <w:rFonts w:ascii="Times New Roman" w:hAnsi="Times New Roman"/>
          <w:color w:val="000000"/>
          <w:sz w:val="28"/>
          <w:szCs w:val="28"/>
          <w:rtl w:val="off"/>
        </w:rPr>
      </w:pPr>
      <w:r>
        <w:rPr>
          <w:rFonts w:ascii="Times New Roman" w:hAnsi="Times New Roman"/>
          <w:color w:val="000000"/>
          <w:sz w:val="28"/>
          <w:szCs w:val="28"/>
        </w:rPr>
        <w:t>Красноярск20</w:t>
      </w:r>
      <w:bookmarkStart w:id="2" w:name="_Toc359316863"/>
      <w:bookmarkEnd w:id="2"/>
      <w:r>
        <w:rPr>
          <w:rFonts w:ascii="Times New Roman" w:hAnsi="Times New Roman"/>
          <w:color w:val="000000"/>
          <w:sz w:val="28"/>
          <w:szCs w:val="28"/>
          <w:rtl w:val="off"/>
        </w:rPr>
        <w:t>20</w:t>
      </w:r>
    </w:p>
    <w:p>
      <w:pPr>
        <w:pStyle w:val="a0"/>
        <w:jc w:val="center"/>
        <w:spacing w:after="0"/>
      </w:pPr>
    </w:p>
    <w:p>
      <w:pPr>
        <w:spacing w:after="160" w:line="259" w:lineRule="auto"/>
      </w:pPr>
      <w:r>
        <w:drawing>
          <wp:inline distT="0" distB="0" distL="180" distR="180">
            <wp:extent cx="5940425" cy="925195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195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80" distR="180">
            <wp:extent cx="5940425" cy="925195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195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a0"/>
        <w:widowControl w:val="off"/>
        <w:spacing w:after="240" w:line="100" w:lineRule="atLeast"/>
      </w:pPr>
      <w:r>
        <w:rPr>
          <w:rFonts w:ascii="Times New Roman" w:hAnsi="Times New Roman"/>
          <w:b/>
          <w:bCs/>
          <w:sz w:val="28"/>
          <w:szCs w:val="28"/>
          <w:u w:val="single" w:color="auto"/>
        </w:rPr>
        <w:t>1.</w:t>
      </w:r>
      <w:r>
        <w:rPr>
          <w:rFonts w:ascii="Times New Roman" w:hAnsi="Times New Roman"/>
          <w:b/>
          <w:sz w:val="28"/>
          <w:szCs w:val="28"/>
          <w:u w:val="single" w:color="auto"/>
        </w:rPr>
        <w:t xml:space="preserve"> Ц</w:t>
      </w:r>
      <w:r>
        <w:rPr>
          <w:rFonts w:ascii="Times New Roman" w:hAnsi="Times New Roman"/>
          <w:b/>
          <w:bCs/>
          <w:sz w:val="28"/>
          <w:szCs w:val="28"/>
          <w:u w:val="single" w:color="auto"/>
        </w:rPr>
        <w:t>ель и задачи прохождения преддипломной практики</w:t>
      </w:r>
    </w:p>
    <w:p>
      <w:pPr>
        <w:pStyle w:val="PlainText1"/>
        <w:ind w:firstLine="709"/>
        <w:jc w:val="both"/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 xml:space="preserve">преддипломной практики «Организация деятельности аптеки и ее структурных подразделений» состоит в </w:t>
      </w:r>
      <w:r>
        <w:rPr>
          <w:rFonts w:ascii="Times New Roman" w:hAnsi="Times New Roman"/>
          <w:sz w:val="28"/>
          <w:szCs w:val="28"/>
          <w:spacing w:val="-4"/>
        </w:rPr>
        <w:t>закреплении и углублении теоретической подготовки обучающегося по разделам «Лицензирование аптечных организаций» и «Анализ экономических показателей аптечной организации»,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>
      <w:pPr>
        <w:pStyle w:val="a0"/>
        <w:widowControl w:val="off"/>
        <w:jc w:val="both"/>
        <w:shd w:val="clear" w:color="auto" w:fill="FFFFFF"/>
        <w:spacing w:after="60" w:before="60" w:line="288" w:lineRule="auto"/>
      </w:pPr>
      <w:r>
        <w:rPr>
          <w:rFonts w:ascii="Times New Roman" w:hAnsi="Times New Roman"/>
          <w:b/>
          <w:sz w:val="28"/>
          <w:szCs w:val="28"/>
        </w:rPr>
        <w:t xml:space="preserve">         Задачами</w:t>
      </w:r>
      <w:r>
        <w:rPr>
          <w:rFonts w:ascii="Times New Roman" w:hAnsi="Times New Roman"/>
          <w:sz w:val="28"/>
          <w:szCs w:val="28"/>
        </w:rPr>
        <w:t xml:space="preserve"> являются: </w:t>
      </w:r>
    </w:p>
    <w:p>
      <w:pPr>
        <w:pStyle w:val="a0"/>
        <w:ind w:left="0" w:firstLine="0"/>
        <w:widowControl w:val="off"/>
        <w:jc w:val="both"/>
        <w:shd w:val="clear" w:color="auto" w:fill="FFFFFF"/>
        <w:numPr>
          <w:ilvl w:val="0"/>
          <w:numId w:val="2"/>
        </w:numPr>
        <w:tabs>
          <w:tab w:val="left" w:pos="426"/>
          <w:tab w:val="left" w:pos="1134"/>
        </w:tabs>
        <w:spacing w:after="60" w:before="60" w:line="288" w:lineRule="auto"/>
      </w:pPr>
      <w:r>
        <w:rPr>
          <w:rFonts w:ascii="Times New Roman" w:hAnsi="Times New Roman"/>
          <w:sz w:val="28"/>
          <w:szCs w:val="28"/>
        </w:rPr>
        <w:t>Ознакомление с порядком лицензирования аптечной организации;</w:t>
      </w:r>
    </w:p>
    <w:p>
      <w:pPr>
        <w:pStyle w:val="a0"/>
        <w:ind w:left="0" w:firstLine="0"/>
        <w:widowControl w:val="off"/>
        <w:jc w:val="both"/>
        <w:shd w:val="clear" w:color="auto" w:fill="FFFFFF"/>
        <w:numPr>
          <w:ilvl w:val="0"/>
          <w:numId w:val="2"/>
        </w:numPr>
        <w:tabs>
          <w:tab w:val="left" w:pos="426"/>
          <w:tab w:val="left" w:pos="1134"/>
        </w:tabs>
        <w:spacing w:after="60" w:before="60"/>
      </w:pPr>
      <w:r>
        <w:rPr>
          <w:rFonts w:ascii="Times New Roman" w:hAnsi="Times New Roman"/>
          <w:sz w:val="28"/>
          <w:szCs w:val="28"/>
        </w:rPr>
        <w:t>Формирование основ экономического анализа.</w:t>
      </w:r>
    </w:p>
    <w:p>
      <w:pPr>
        <w:pStyle w:val="a0"/>
        <w:widowControl w:val="off"/>
        <w:jc w:val="both"/>
        <w:shd w:val="clear" w:color="auto" w:fill="FFFFFF"/>
        <w:tabs>
          <w:tab w:val="left" w:pos="426"/>
          <w:tab w:val="left" w:pos="1134"/>
        </w:tabs>
        <w:spacing w:after="60" w:before="60" w:line="288" w:lineRule="auto"/>
      </w:pPr>
    </w:p>
    <w:p>
      <w:pPr>
        <w:pStyle w:val="a0"/>
        <w:jc w:val="both"/>
        <w:spacing w:after="0" w:line="100" w:lineRule="atLeast"/>
      </w:pPr>
      <w:r>
        <w:rPr>
          <w:rFonts w:ascii="Times New Roman" w:hAnsi="Times New Roman"/>
          <w:b/>
          <w:sz w:val="28"/>
          <w:szCs w:val="28"/>
          <w:u w:val="single" w:color="auto"/>
        </w:rPr>
        <w:t>2. Знания, умения, практический опыт, которыми должен овладеть студент после прохождения практики</w:t>
      </w:r>
      <w:r>
        <w:rPr>
          <w:rFonts w:ascii="Times New Roman" w:hAnsi="Times New Roman"/>
          <w:b/>
          <w:sz w:val="28"/>
          <w:szCs w:val="28"/>
        </w:rPr>
        <w:t>.</w:t>
      </w:r>
    </w:p>
    <w:p>
      <w:pPr>
        <w:pStyle w:val="a0"/>
        <w:widowControl w:val="off"/>
        <w:tabs>
          <w:tab w:val="right" w:pos="9639" w:leader="underscore"/>
        </w:tabs>
        <w:spacing w:after="120" w:before="240"/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>
      <w:pPr>
        <w:pStyle w:val="a5"/>
        <w:numPr>
          <w:ilvl w:val="0"/>
          <w:numId w:val="3"/>
        </w:numPr>
      </w:pPr>
      <w:r>
        <w:rPr>
          <w:rFonts w:ascii="Times New Roman" w:hAnsi="Times New Roman"/>
          <w:sz w:val="28"/>
          <w:szCs w:val="28"/>
        </w:rPr>
        <w:t>законодательные акты и другие нормативные документы, регулирующие лицензирование аптечных организаций;</w:t>
      </w:r>
    </w:p>
    <w:p>
      <w:pPr>
        <w:pStyle w:val="a5"/>
        <w:numPr>
          <w:ilvl w:val="0"/>
          <w:numId w:val="3"/>
        </w:numPr>
      </w:pPr>
      <w:r>
        <w:rPr>
          <w:rFonts w:ascii="Times New Roman" w:hAnsi="Times New Roman"/>
          <w:sz w:val="28"/>
          <w:szCs w:val="28"/>
        </w:rPr>
        <w:t>перечень выполняемых работ, составляющих фармацевтическую деятельность;</w:t>
      </w:r>
    </w:p>
    <w:p>
      <w:pPr>
        <w:pStyle w:val="a5"/>
        <w:numPr>
          <w:ilvl w:val="0"/>
          <w:numId w:val="3"/>
        </w:numPr>
      </w:pPr>
      <w:r>
        <w:rPr>
          <w:rFonts w:ascii="Times New Roman" w:hAnsi="Times New Roman"/>
          <w:sz w:val="28"/>
          <w:szCs w:val="28"/>
        </w:rPr>
        <w:t>перечень документов, необходимых для получения лицензии;</w:t>
      </w:r>
    </w:p>
    <w:p>
      <w:pPr>
        <w:pStyle w:val="a5"/>
        <w:numPr>
          <w:ilvl w:val="0"/>
          <w:numId w:val="3"/>
        </w:numPr>
      </w:pPr>
      <w:r>
        <w:rPr>
          <w:rFonts w:ascii="Times New Roman" w:hAnsi="Times New Roman"/>
          <w:sz w:val="28"/>
          <w:szCs w:val="28"/>
        </w:rPr>
        <w:t>принципы расчета экономических показателей в аптечной организации.</w:t>
      </w:r>
    </w:p>
    <w:p>
      <w:pPr>
        <w:pStyle w:val="a5"/>
      </w:pPr>
    </w:p>
    <w:p>
      <w:pPr>
        <w:pStyle w:val="a5"/>
      </w:pPr>
      <w:r>
        <w:rPr>
          <w:rFonts w:ascii="Times New Roman" w:hAnsi="Times New Roman"/>
          <w:b/>
          <w:sz w:val="28"/>
          <w:szCs w:val="28"/>
        </w:rPr>
        <w:t>Умения:</w:t>
      </w:r>
    </w:p>
    <w:p>
      <w:pPr>
        <w:pStyle w:val="a5"/>
      </w:pPr>
    </w:p>
    <w:p>
      <w:pPr>
        <w:pStyle w:val="a5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Организовывать соблюдение условий для соответствия лицензионным требованиям:</w:t>
      </w:r>
    </w:p>
    <w:p>
      <w:pPr>
        <w:pStyle w:val="a5"/>
        <w:numPr>
          <w:ilvl w:val="0"/>
          <w:numId w:val="4"/>
        </w:numPr>
      </w:pPr>
      <w:r>
        <w:rPr>
          <w:rFonts w:ascii="Times New Roman" w:hAnsi="Times New Roman"/>
          <w:sz w:val="28"/>
          <w:szCs w:val="28"/>
        </w:rPr>
        <w:t>соответствие помещения и оборудования установленным требованиям;</w:t>
      </w:r>
    </w:p>
    <w:p>
      <w:pPr>
        <w:pStyle w:val="a5"/>
        <w:numPr>
          <w:ilvl w:val="0"/>
          <w:numId w:val="5"/>
        </w:numPr>
        <w:tabs>
          <w:tab w:val="clear" w:pos="708"/>
        </w:tabs>
      </w:pPr>
      <w:r>
        <w:rPr>
          <w:rFonts w:ascii="Times New Roman" w:hAnsi="Times New Roman"/>
          <w:sz w:val="28"/>
          <w:szCs w:val="28"/>
        </w:rPr>
        <w:t>соответствие санитарного режима установленным требованиям;</w:t>
      </w:r>
    </w:p>
    <w:p>
      <w:pPr>
        <w:pStyle w:val="a5"/>
        <w:numPr>
          <w:ilvl w:val="0"/>
          <w:numId w:val="5"/>
        </w:numPr>
        <w:tabs>
          <w:tab w:val="clear" w:pos="708"/>
        </w:tabs>
      </w:pPr>
      <w:r>
        <w:rPr>
          <w:rFonts w:ascii="Times New Roman" w:hAnsi="Times New Roman"/>
          <w:sz w:val="28"/>
          <w:szCs w:val="28"/>
        </w:rPr>
        <w:t>соблюдение правил отпуска лекарственных препаратов для медицинского применения аптечными организациями;</w:t>
      </w:r>
    </w:p>
    <w:p>
      <w:pPr>
        <w:pStyle w:val="a5"/>
        <w:numPr>
          <w:ilvl w:val="0"/>
          <w:numId w:val="5"/>
        </w:numPr>
        <w:tabs>
          <w:tab w:val="clear" w:pos="708"/>
        </w:tabs>
      </w:pPr>
      <w:r>
        <w:rPr>
          <w:rFonts w:ascii="Times New Roman" w:hAnsi="Times New Roman"/>
          <w:sz w:val="28"/>
          <w:szCs w:val="28"/>
        </w:rPr>
        <w:t>соблюдение условий хранения лекарственных препаратов для медицинского применения.</w:t>
      </w:r>
    </w:p>
    <w:p>
      <w:pPr>
        <w:spacing w:after="160" w:line="259" w:lineRule="auto"/>
      </w:pPr>
    </w:p>
    <w:p>
      <w:pPr>
        <w:pStyle w:val="a0"/>
        <w:ind w:left="227"/>
        <w:pageBreakBefore/>
        <w:jc w:val="both"/>
        <w:spacing w:after="0" w:line="100" w:lineRule="atLeast"/>
      </w:pPr>
      <w:r>
        <w:rPr>
          <w:rFonts w:ascii="Times New Roman" w:hAnsi="Times New Roman"/>
          <w:b/>
          <w:sz w:val="28"/>
          <w:szCs w:val="28"/>
          <w:u w:val="single" w:color="auto"/>
        </w:rPr>
        <w:t>3. Тематический план</w:t>
      </w:r>
    </w:p>
    <w:p>
      <w:pPr>
        <w:pStyle w:val="a0"/>
        <w:ind w:left="227"/>
        <w:jc w:val="both"/>
        <w:spacing w:after="0" w:line="100" w:lineRule="atLeast"/>
      </w:pP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ook w:val="0000" w:firstRow="0" w:lastRow="0" w:firstColumn="0" w:lastColumn="0" w:noHBand="0" w:noVBand="0"/>
        <w:tblCellMar>
          <w:top w:w="0" w:type="dxa"/>
          <w:left w:w="10" w:type="dxa"/>
          <w:bottom w:w="0" w:type="dxa"/>
          <w:right w:w="10" w:type="dxa"/>
        </w:tblCellMar>
      </w:tblPr>
      <w:tblGrid>
        <w:gridCol w:w="799"/>
        <w:gridCol w:w="6820"/>
        <w:gridCol w:w="991"/>
        <w:gridCol w:w="995"/>
      </w:tblGrid>
      <w:tr>
        <w:trPr>
          <w:cantSplit/>
        </w:trPr>
        <w:tc>
          <w:tcPr>
            <w:tcW w:w="799" w:type="dxa"/>
            <w:vMerge w:val="restar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227"/>
              <w:jc w:val="both"/>
              <w:spacing w:after="0" w:line="100" w:lineRule="atLeast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2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227"/>
              <w:jc w:val="both"/>
              <w:spacing w:after="0" w:line="100" w:lineRule="atLeast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9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227"/>
              <w:jc w:val="both"/>
              <w:spacing w:after="0" w:line="100" w:lineRule="atLeast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>
        <w:trPr>
          <w:cantSplit/>
        </w:trPr>
        <w:tc>
          <w:tcPr>
            <w:tcW w:w="799" w:type="dxa"/>
            <w:vMerge w:val="continue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a0"/>
              <w:spacing w:after="0" w:line="100" w:lineRule="atLeast"/>
            </w:pPr>
          </w:p>
        </w:tc>
        <w:tc>
          <w:tcPr>
            <w:tcW w:w="682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a0"/>
              <w:spacing w:after="0" w:line="100" w:lineRule="atLeast"/>
            </w:pP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227" w:hanging="193"/>
              <w:jc w:val="both"/>
              <w:spacing w:after="0" w:line="100" w:lineRule="atLeast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34"/>
              <w:jc w:val="both"/>
              <w:spacing w:after="0" w:line="100" w:lineRule="atLeast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</w:tc>
      </w:tr>
      <w:tr>
        <w:trPr>
          <w:cantSplit/>
        </w:trPr>
        <w:tc>
          <w:tcPr>
            <w:tcW w:w="7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227"/>
              <w:jc w:val="both"/>
              <w:spacing w:after="0" w:line="100" w:lineRule="atLeast"/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jc w:val="both"/>
              <w:spacing w:after="0" w:line="100" w:lineRule="atLeast"/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порядком лицензирования аптечной организации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227"/>
              <w:jc w:val="both"/>
              <w:spacing w:after="0" w:line="100" w:lineRule="atLeast"/>
            </w:pPr>
            <w:r>
              <w:rPr>
                <w:rtl w:val="off"/>
              </w:rPr>
              <w:t>6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227"/>
              <w:jc w:val="both"/>
              <w:spacing w:after="0" w:line="100" w:lineRule="atLeast"/>
            </w:pPr>
            <w:r>
              <w:rPr>
                <w:rtl w:val="off"/>
              </w:rPr>
              <w:t>36</w:t>
            </w:r>
          </w:p>
        </w:tc>
      </w:tr>
      <w:tr>
        <w:trPr>
          <w:cantSplit/>
          <w:trHeight w:val="365" w:hRule="atLeast"/>
        </w:trPr>
        <w:tc>
          <w:tcPr>
            <w:tcW w:w="7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227"/>
              <w:jc w:val="both"/>
              <w:spacing w:after="0" w:line="100" w:lineRule="atLeast"/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jc w:val="both"/>
              <w:spacing w:after="0" w:line="100" w:lineRule="atLeast"/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основ экономического анализа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227"/>
              <w:jc w:val="both"/>
              <w:spacing w:after="0" w:line="100" w:lineRule="atLeast"/>
            </w:pPr>
            <w:r>
              <w:rPr>
                <w:rtl w:val="off"/>
              </w:rPr>
              <w:t>6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227"/>
              <w:jc w:val="both"/>
              <w:spacing w:after="0" w:line="100" w:lineRule="atLeast"/>
            </w:pPr>
            <w:r>
              <w:rPr>
                <w:rtl w:val="off"/>
              </w:rPr>
              <w:t>36</w:t>
            </w:r>
          </w:p>
        </w:tc>
      </w:tr>
      <w:tr>
        <w:trPr>
          <w:cantSplit/>
        </w:trPr>
        <w:tc>
          <w:tcPr>
            <w:tcW w:w="7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227"/>
              <w:jc w:val="both"/>
              <w:spacing w:after="0" w:line="100" w:lineRule="atLeast"/>
            </w:pPr>
          </w:p>
        </w:tc>
        <w:tc>
          <w:tcPr>
            <w:tcW w:w="6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jc w:val="both"/>
              <w:spacing w:after="0" w:line="100" w:lineRule="atLeast"/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227"/>
              <w:jc w:val="both"/>
              <w:spacing w:after="0" w:line="100" w:lineRule="atLeast"/>
            </w:pPr>
            <w:r>
              <w:rPr>
                <w:rtl w:val="off"/>
              </w:rPr>
              <w:t>12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ind w:left="227"/>
              <w:jc w:val="both"/>
              <w:spacing w:after="0" w:line="100" w:lineRule="atLeast"/>
            </w:pPr>
            <w:r>
              <w:rPr>
                <w:rtl w:val="off"/>
              </w:rPr>
              <w:t>72</w:t>
            </w:r>
          </w:p>
        </w:tc>
      </w:tr>
    </w:tbl>
    <w:p/>
    <w:p>
      <w:pPr>
        <w:spacing w:after="160" w:line="259" w:lineRule="auto"/>
      </w:pPr>
      <w:r>
        <w:br w:type="page"/>
      </w:r>
    </w:p>
    <w:p>
      <w:pPr>
        <w:spacing w:after="160" w:line="259" w:lineRule="auto"/>
      </w:pPr>
      <w:r>
        <w:drawing>
          <wp:inline distT="0" distB="0" distL="180" distR="180">
            <wp:extent cx="5940425" cy="925195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1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21"/>
        <w:rPr>
          <w:b/>
          <w:szCs w:val="28"/>
          <w:u w:val="single" w:color="auto"/>
        </w:rPr>
      </w:pPr>
      <w:r>
        <w:rPr>
          <w:b/>
          <w:szCs w:val="28"/>
          <w:u w:val="single" w:color="auto"/>
        </w:rPr>
        <w:t>6. Содержание и объем проведенной работы.</w:t>
      </w:r>
    </w:p>
    <w:p>
      <w:pPr>
        <w:pStyle w:val="a0"/>
        <w:jc w:val="both"/>
        <w:spacing w:after="0" w:line="100" w:lineRule="atLeast"/>
        <w:rPr>
          <w:rFonts w:ascii="Times New Roman" w:hAnsi="Times New Roman"/>
          <w:b/>
          <w:sz w:val="28"/>
          <w:szCs w:val="28"/>
        </w:rPr>
      </w:pPr>
    </w:p>
    <w:p>
      <w:pPr>
        <w:pStyle w:val="a0"/>
        <w:jc w:val="both"/>
        <w:spacing w:after="0" w:line="100" w:lineRule="atLeast"/>
        <w:rPr>
          <w:b/>
        </w:rPr>
      </w:pPr>
      <w:r>
        <w:rPr>
          <w:rFonts w:ascii="Times New Roman" w:hAnsi="Times New Roman"/>
          <w:b/>
          <w:sz w:val="28"/>
          <w:szCs w:val="28"/>
        </w:rPr>
        <w:t>1.Ознакомление с порядком лицензирования аптечной организации.</w:t>
      </w:r>
    </w:p>
    <w:p>
      <w:pPr>
        <w:pStyle w:val="aff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Лицензирующие органы – республиканские органы государственного управления и иные государственные организации, подчиненные Правительству Республики Беларусь, местные исполнительные и распорядительные органы, другие государственные органы, уполномоченные в соответствии с настоящим Положением осуществлять лицензирование.</w:t>
      </w:r>
    </w:p>
    <w:p>
      <w:pPr>
        <w:pStyle w:val="aff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Лицензирование фармацевтической деятельности осуществляется Министерством здравоохранения, в структуре которого имеется управление по лицензированию медицинской и фармацевтической деятельности. В данном управлении, соответственно, выделены два отдела:</w:t>
      </w:r>
    </w:p>
    <w:p>
      <w:pPr>
        <w:pStyle w:val="aff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отдел лицензирования медицинской деятельности,</w:t>
      </w:r>
    </w:p>
    <w:p>
      <w:pPr>
        <w:pStyle w:val="aff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отдел лицензирования фармацевтической деятельности.</w:t>
      </w:r>
    </w:p>
    <w:p>
      <w:pPr>
        <w:pStyle w:val="aff4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aff4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Перечень документов, представляемых в лицензирующий орган:</w:t>
      </w:r>
    </w:p>
    <w:p>
      <w:pPr>
        <w:pStyle w:val="aff4"/>
        <w:rPr>
          <w:rStyle w:val="ab"/>
        </w:rPr>
      </w:pPr>
      <w:r>
        <w:rPr>
          <w:rStyle w:val="ab"/>
        </w:rPr>
        <w:t>В соответствии со Статьей 13 Федерального закона № 99-ФЗ «О лицензировании отдельных видов деятельности», для получения лицензии соискатель лицензии представляет:</w:t>
      </w:r>
    </w:p>
    <w:p>
      <w:pPr>
        <w:pStyle w:val="aff4"/>
        <w:rPr>
          <w:rStyle w:val="ab"/>
        </w:rPr>
      </w:pPr>
      <w:r>
        <w:rPr>
          <w:rStyle w:val="ab"/>
        </w:rPr>
        <w:t>1. по установленной форме в лицензирующий орган заявление о предоставлении лицензии, которое подписывается руководителем постоянно действующего исполнительного органа юридического лица или иным имеющим право действовать от имени этого юридического лица лицом либо индивидуальным предпринимателем и в котором указываются:</w:t>
      </w:r>
    </w:p>
    <w:p>
      <w:pPr>
        <w:pStyle w:val="aff4"/>
        <w:rPr>
          <w:rStyle w:val="ab"/>
        </w:rPr>
      </w:pPr>
      <w:r>
        <w:rPr>
          <w:rStyle w:val="ab"/>
        </w:rPr>
        <w:t>- полное и (в случае, если имеется) сокращенное наименование, в том числе фирменное наименование, и организационно-правовая форма юридического лица, адрес его места нахождения, адреса мест осуществления лицензируемого вида деятельности, который намерен осуществлять соискатель лицензии, государственный регистрационный номер записи о создании юридического лица, данные документа, подтверждающего факт внесения сведений о юридическом лице в единый государственный реестр юридических лиц, с указанием адреса места нахождения органа, осуществившего государственную регистрацию, а также номера телефона и (в случае, если имеется) адреса электронной почты юридического лица</w:t>
      </w:r>
      <w:r>
        <w:rPr>
          <w:rStyle w:val="ab"/>
        </w:rPr>
        <w:br/>
      </w:r>
    </w:p>
    <w:p>
      <w:pPr>
        <w:pStyle w:val="aff4"/>
        <w:rPr>
          <w:rStyle w:val="ab"/>
        </w:rPr>
      </w:pPr>
      <w:r>
        <w:rPr>
          <w:rStyle w:val="ab"/>
        </w:rPr>
        <w:t>- фамилия, имя и (в случае, если имеется) отчество индивидуального предпринимателя, адрес его места жительства, адреса мест осуществления лицензируемого вида деятельности, который намерен осуществлять соискатель лицензии, данные документа, удостоверяющего его личность, государственный регистрационный номер записи о государственной регистрации индивидуального предпринимателя, данные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предпринимателей, с указанием адреса места нахождения органа, осуществившего государственную регистрацию, а также номера телефона и (в случае, если имеется) адреса электронной почты индивидуального предпринимателя;</w:t>
      </w:r>
      <w:r>
        <w:rPr>
          <w:rStyle w:val="ab"/>
        </w:rPr>
        <w:br/>
      </w:r>
    </w:p>
    <w:p>
      <w:pPr>
        <w:pStyle w:val="21"/>
        <w:rPr>
          <w:rStyle w:val="ab"/>
        </w:rPr>
      </w:pPr>
      <w:r>
        <w:rPr>
          <w:rStyle w:val="ab"/>
        </w:rPr>
        <w:t>- идентификационный номер налогоплательщика, данные документа о постановке соискателя лицензии на учет в налоговом органе;</w:t>
      </w:r>
      <w:r>
        <w:rPr>
          <w:rStyle w:val="ab"/>
        </w:rPr>
        <w:br/>
      </w:r>
    </w:p>
    <w:p>
      <w:pPr>
        <w:pStyle w:val="21"/>
        <w:rPr>
          <w:rStyle w:val="ab"/>
        </w:rPr>
      </w:pPr>
      <w:r>
        <w:rPr>
          <w:rStyle w:val="ab"/>
        </w:rPr>
        <w:t>- лицензируемый вид деятельности в соответствии с </w:t>
      </w:r>
      <w:r>
        <w:rPr>
          <w:rStyle w:val="ab"/>
        </w:rPr>
        <w:fldChar w:fldCharType="begin"/>
      </w:r>
      <w:r>
        <w:rPr>
          <w:rStyle w:val="ab"/>
        </w:rPr>
        <w:instrText xml:space="preserve"> HYPERLINK "http://docs.cntd.ru/document/902276657" </w:instrText>
      </w:r>
      <w:r>
        <w:rPr>
          <w:rStyle w:val="ab"/>
        </w:rPr>
        <w:fldChar w:fldCharType="separate"/>
      </w:r>
      <w:r>
        <w:rPr>
          <w:rStyle w:val="ab"/>
        </w:rPr>
        <w:t>частью 1 статьи 12 настоящего Федерального закона</w:t>
      </w:r>
      <w:r>
        <w:rPr>
          <w:rStyle w:val="ab"/>
        </w:rPr>
        <w:fldChar w:fldCharType="end"/>
      </w:r>
      <w:r>
        <w:rPr>
          <w:rStyle w:val="ab"/>
        </w:rPr>
        <w:t>, который соискатель лицензии намерен осуществлять, с указанием выполняемых работ, оказываемых услуг, составляющих лицензируемый вид деятельности;</w:t>
      </w:r>
      <w:r>
        <w:rPr>
          <w:rStyle w:val="ab"/>
        </w:rPr>
        <w:br/>
      </w:r>
    </w:p>
    <w:p>
      <w:pPr>
        <w:pStyle w:val="21"/>
        <w:rPr>
          <w:rStyle w:val="ab"/>
        </w:rPr>
      </w:pPr>
      <w:r>
        <w:rPr>
          <w:rStyle w:val="ab"/>
        </w:rPr>
        <w:t>- реквизиты документа, подтверждающего факт уплаты государственной пошлины за предоставление лицензии, либо иные сведения, подтверждающие факт уплаты указанной государственной пошлины; (Пункт дополнительно включен с 1 января 2013 года </w:t>
      </w:r>
      <w:r>
        <w:rPr>
          <w:rStyle w:val="ab"/>
        </w:rPr>
        <w:fldChar w:fldCharType="begin"/>
      </w:r>
      <w:r>
        <w:rPr>
          <w:rStyle w:val="ab"/>
        </w:rPr>
        <w:instrText xml:space="preserve"> HYPERLINK "http://docs.cntd.ru/document/902360320" </w:instrText>
      </w:r>
      <w:r>
        <w:rPr>
          <w:rStyle w:val="ab"/>
        </w:rPr>
        <w:fldChar w:fldCharType="separate"/>
      </w:r>
      <w:r>
        <w:rPr>
          <w:rStyle w:val="ab"/>
        </w:rPr>
        <w:t>Федеральным законом от 28 июля 2012 года N 133-ФЗ</w:t>
      </w:r>
      <w:r>
        <w:rPr>
          <w:rStyle w:val="ab"/>
        </w:rPr>
        <w:fldChar w:fldCharType="end"/>
      </w:r>
      <w:r>
        <w:rPr>
          <w:rStyle w:val="ab"/>
        </w:rPr>
        <w:t>)</w:t>
      </w:r>
      <w:r>
        <w:rPr>
          <w:rStyle w:val="ab"/>
        </w:rPr>
        <w:br/>
      </w:r>
    </w:p>
    <w:p>
      <w:pPr>
        <w:pStyle w:val="21"/>
        <w:rPr>
          <w:rStyle w:val="ab"/>
        </w:rPr>
      </w:pPr>
      <w:r>
        <w:rPr>
          <w:rStyle w:val="ab"/>
        </w:rPr>
        <w:t>- реквизиты документов (наименование органа (организации), выдавшего документ, дата, номер), перечень которых определяется положением о лицензировании конкретного вида деятельности и которые свидетельствуют о соответствии соискателя лицензии лицензионным требованиям, - в отношении документов, на которые распространяется требование пункта 2 </w:t>
      </w:r>
      <w:r>
        <w:rPr>
          <w:rStyle w:val="ab"/>
        </w:rPr>
        <w:fldChar w:fldCharType="begin"/>
      </w:r>
      <w:r>
        <w:rPr>
          <w:rStyle w:val="ab"/>
        </w:rPr>
        <w:instrText xml:space="preserve"> HYPERLINK "http://docs.cntd.ru/document/902228011" </w:instrText>
      </w:r>
      <w:r>
        <w:rPr>
          <w:rStyle w:val="ab"/>
        </w:rPr>
        <w:fldChar w:fldCharType="separate"/>
      </w:r>
      <w:r>
        <w:rPr>
          <w:rStyle w:val="ab"/>
        </w:rPr>
        <w:t>части 1 статьи 7 Федерального закона от 27 июля 2010 года N 210-ФЗ "Об организации предоставления государственных и муниципальных услуг"</w:t>
      </w:r>
      <w:r>
        <w:rPr>
          <w:rStyle w:val="ab"/>
        </w:rPr>
        <w:fldChar w:fldCharType="end"/>
      </w:r>
      <w:r>
        <w:rPr>
          <w:rStyle w:val="ab"/>
        </w:rPr>
        <w:t>.</w:t>
      </w:r>
      <w:r>
        <w:rPr>
          <w:rStyle w:val="ab"/>
        </w:rPr>
        <w:br/>
      </w:r>
    </w:p>
    <w:p>
      <w:pPr>
        <w:pStyle w:val="21"/>
        <w:rPr>
          <w:rStyle w:val="ab"/>
        </w:rPr>
      </w:pPr>
      <w:r>
        <w:rPr>
          <w:rStyle w:val="ab"/>
        </w:rPr>
        <w:t>2. В заявлении о предоставлении лицензии соискатель лицензии может указать просьбу о направлении ему в электронной форме информации по вопросам лицензирования.</w:t>
      </w:r>
    </w:p>
    <w:p>
      <w:pPr>
        <w:pStyle w:val="21"/>
      </w:pPr>
      <w:r>
        <w:t>3. Опись прилагаемых документов.</w:t>
      </w:r>
    </w:p>
    <w:p>
      <w:pPr>
        <w:spacing w:after="160" w:line="259" w:lineRule="auto"/>
        <w:rPr>
          <w:rFonts w:ascii="Times New Roman" w:hAnsi="Times New Roman"/>
          <w:sz w:val="28"/>
          <w:szCs w:val="20"/>
        </w:rPr>
      </w:pPr>
      <w:r>
        <w:br w:type="page"/>
      </w:r>
    </w:p>
    <w:p>
      <w:pPr>
        <w:pStyle w:val="21"/>
        <w:rPr>
          <w:b/>
        </w:rPr>
      </w:pPr>
      <w:r>
        <w:rPr>
          <w:b/>
        </w:rPr>
        <w:t>Перечень выполняемых работ, оказываемых услуг, составляющих фармацевтическую деятельность:</w:t>
      </w:r>
    </w:p>
    <w:p>
      <w:pPr>
        <w:pStyle w:val="21"/>
      </w:pPr>
      <w:r>
        <w:rPr>
          <w:bCs/>
        </w:rPr>
        <w:t>I. В сфере обращения лекарственных средств для медицинского применения</w:t>
      </w:r>
    </w:p>
    <w:p>
      <w:pPr>
        <w:pStyle w:val="21"/>
      </w:pPr>
      <w:r>
        <w:t>1. Оптовая торговля лекарственными средствами для медицинского применения</w:t>
      </w:r>
    </w:p>
    <w:p>
      <w:pPr>
        <w:pStyle w:val="21"/>
      </w:pPr>
      <w:r>
        <w:t>2. Хранение лекарственных средств для медицинского применения</w:t>
      </w:r>
    </w:p>
    <w:p>
      <w:pPr>
        <w:pStyle w:val="21"/>
      </w:pPr>
      <w:r>
        <w:t>3. Хранение лекарственных препаратов для медицинского применения</w:t>
      </w:r>
    </w:p>
    <w:p>
      <w:pPr>
        <w:pStyle w:val="21"/>
      </w:pPr>
      <w:r>
        <w:t>4. Перевозка лекарственных средств для медицинского применения</w:t>
      </w:r>
    </w:p>
    <w:p>
      <w:pPr>
        <w:pStyle w:val="21"/>
      </w:pPr>
      <w:r>
        <w:t>5. Перевозка лекарственных препаратов для медицинского применения</w:t>
      </w:r>
    </w:p>
    <w:p>
      <w:pPr>
        <w:pStyle w:val="21"/>
      </w:pPr>
      <w:r>
        <w:t>6. Розничная торговля лекарственными препаратами для медицинского применения</w:t>
      </w:r>
    </w:p>
    <w:p>
      <w:pPr>
        <w:pStyle w:val="21"/>
      </w:pPr>
      <w:r>
        <w:t>7. Отпуск лекарственных препаратов для медицинского применения</w:t>
      </w:r>
    </w:p>
    <w:p>
      <w:pPr>
        <w:pStyle w:val="21"/>
      </w:pPr>
      <w:r>
        <w:t>8. Изготовление лекарственных препаратов для медицинского применения</w:t>
      </w:r>
    </w:p>
    <w:p>
      <w:pPr>
        <w:pStyle w:val="21"/>
        <w:rPr>
          <w:bCs/>
        </w:rPr>
      </w:pPr>
    </w:p>
    <w:p>
      <w:pPr>
        <w:pStyle w:val="21"/>
      </w:pPr>
      <w:r>
        <w:rPr>
          <w:bCs/>
        </w:rPr>
        <w:t>II. В сфере обращения лекарственных средств для ветеринарного применения</w:t>
      </w:r>
    </w:p>
    <w:p>
      <w:pPr>
        <w:pStyle w:val="21"/>
      </w:pPr>
      <w:r>
        <w:t>1. Оптовая торговля лекарственными средствами для ветеринарного применения</w:t>
      </w:r>
    </w:p>
    <w:p>
      <w:pPr>
        <w:pStyle w:val="21"/>
      </w:pPr>
      <w:r>
        <w:t>2. Хранение лекарственных средств для ветеринарного применения</w:t>
      </w:r>
    </w:p>
    <w:p>
      <w:pPr>
        <w:pStyle w:val="21"/>
      </w:pPr>
      <w:r>
        <w:t>3. Хранение лекарственных препаратов для ветеринарного применения</w:t>
      </w:r>
    </w:p>
    <w:p>
      <w:pPr>
        <w:pStyle w:val="21"/>
      </w:pPr>
      <w:r>
        <w:t>4. Перевозка лекарственных средств для ветеринарного применения</w:t>
      </w:r>
    </w:p>
    <w:p>
      <w:pPr>
        <w:pStyle w:val="21"/>
      </w:pPr>
      <w:r>
        <w:t>5. Перевозка лекарственных препаратов для ветеринарного применения</w:t>
      </w:r>
    </w:p>
    <w:p>
      <w:pPr>
        <w:pStyle w:val="21"/>
      </w:pPr>
      <w:r>
        <w:t>6. Розничная торговля лекарственными препаратами для ветеринарного применения</w:t>
      </w:r>
    </w:p>
    <w:p>
      <w:pPr>
        <w:pStyle w:val="21"/>
      </w:pPr>
      <w:r>
        <w:t>7. Отпуск лекарственных препаратов для ветеринарного применения</w:t>
      </w:r>
    </w:p>
    <w:p>
      <w:pPr>
        <w:pStyle w:val="21"/>
      </w:pPr>
      <w:r>
        <w:t>8. Изготовление лекарственных препаратов для ветеринарного применения.</w:t>
      </w:r>
    </w:p>
    <w:p>
      <w:pPr>
        <w:spacing w:after="160" w:line="259" w:lineRule="auto"/>
        <w:rPr>
          <w:rFonts w:ascii="Times New Roman" w:hAnsi="Times New Roman"/>
          <w:sz w:val="28"/>
          <w:szCs w:val="20"/>
        </w:rPr>
      </w:pPr>
    </w:p>
    <w:p>
      <w:pPr>
        <w:pStyle w:val="21"/>
        <w:rPr>
          <w:b/>
        </w:rPr>
      </w:pPr>
      <w:r>
        <w:rPr>
          <w:b/>
        </w:rPr>
        <w:br w:type="page"/>
      </w:r>
      <w:r>
        <w:rPr>
          <w:b/>
        </w:rPr>
        <w:drawing>
          <wp:inline distT="0" distB="0" distL="180" distR="180">
            <wp:extent cx="5940425" cy="925195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19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  <w:r>
        <w:rPr>
          <w:b/>
        </w:rPr>
        <w:drawing>
          <wp:inline distT="0" distB="0" distL="180" distR="180">
            <wp:extent cx="5940425" cy="925195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19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  <w:r>
        <w:rPr>
          <w:b/>
        </w:rPr>
        <w:drawing>
          <wp:inline distT="0" distB="0" distL="180" distR="180">
            <wp:extent cx="5940425" cy="9251950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19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  <w:r>
        <w:rPr>
          <w:b/>
        </w:rPr>
        <w:t>2. Формирование основ экономического анализа.</w:t>
      </w:r>
    </w:p>
    <w:p>
      <w:pPr>
        <w:pStyle w:val="a0"/>
        <w:ind w:right="-1"/>
        <w:jc w:val="both"/>
        <w:spacing w:after="0" w:line="100" w:lineRule="atLeast"/>
      </w:pPr>
    </w:p>
    <w:p>
      <w:pPr>
        <w:pStyle w:val="21"/>
      </w:pPr>
    </w:p>
    <w:p>
      <w:pPr>
        <w:pStyle w:val="21"/>
        <w:rPr>
          <w:szCs w:val="28"/>
        </w:rPr>
      </w:pPr>
      <w:r>
        <w:rPr>
          <w:b/>
          <w:szCs w:val="28"/>
        </w:rPr>
        <w:t xml:space="preserve">Товарооборот </w:t>
      </w:r>
      <w:r>
        <w:rPr>
          <w:szCs w:val="28"/>
        </w:rPr>
        <w:t>– это объем продаж товаров в денежном выражении за определенный период времени.</w:t>
      </w:r>
    </w:p>
    <w:p>
      <w:pPr>
        <w:pStyle w:val="21"/>
        <w:rPr>
          <w:u w:val="single" w:color="auto"/>
        </w:rPr>
      </w:pPr>
      <w:r>
        <w:rPr>
          <w:u w:val="single" w:color="auto"/>
        </w:rPr>
        <w:t>Розничный</w:t>
      </w:r>
      <w:r>
        <w:t xml:space="preserve"> – это реализация аптеками товаров для личного, домашнего или совместного употребления</w:t>
      </w:r>
    </w:p>
    <w:p>
      <w:pPr>
        <w:pStyle w:val="21"/>
        <w:rPr>
          <w:u w:val="single" w:color="auto"/>
        </w:rPr>
      </w:pPr>
      <w:r>
        <w:rPr>
          <w:u w:val="single" w:color="auto"/>
        </w:rPr>
        <w:t>Оптовый</w:t>
      </w:r>
      <w:r>
        <w:t>– это сумма, на которую реализовано лекарственных средств для ЛПУ и др. учреждений по безналичному расчету, по розничным ценам.</w:t>
      </w:r>
    </w:p>
    <w:p>
      <w:pPr>
        <w:pStyle w:val="21"/>
      </w:pPr>
      <w:r>
        <w:rPr>
          <w:b/>
        </w:rPr>
        <w:t>Торговые наложения</w:t>
      </w:r>
      <w:r>
        <w:t xml:space="preserve"> (валовая прибыль) – это разница между стоимостью реализованных лекарств в розничных и оптовых ценах.</w:t>
      </w:r>
    </w:p>
    <w:p>
      <w:pPr>
        <w:pStyle w:val="21"/>
      </w:pPr>
      <w:r>
        <w:t>Торговые наложения планируются в сумме и по уровню.</w:t>
      </w:r>
    </w:p>
    <w:p>
      <w:pPr>
        <w:pStyle w:val="21"/>
      </w:pPr>
      <w:r>
        <w:rPr>
          <w:b/>
        </w:rPr>
        <w:t>Уровень торговых наложений</w:t>
      </w:r>
      <w:r>
        <w:t xml:space="preserve"> (торговая маржа) – это отношение суммы валовой прибыли к товарообороту в розничных ценах, выраженный в %.</w:t>
      </w:r>
    </w:p>
    <w:p>
      <w:pPr>
        <w:pStyle w:val="21"/>
      </w:pPr>
      <w:r>
        <w:rPr>
          <w:b/>
        </w:rPr>
        <w:t>Издержки обращения</w:t>
      </w:r>
      <w:r>
        <w:t xml:space="preserve"> – это денежное выражение затрат, включаемых в себестоимость производства, а также расходов, связанных с доведением товара до потребителя</w:t>
      </w:r>
    </w:p>
    <w:p>
      <w:pPr>
        <w:pStyle w:val="affe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Уровень издержек обращения</w:t>
      </w:r>
      <w:r>
        <w:rPr>
          <w:color w:val="000000"/>
          <w:sz w:val="27"/>
          <w:szCs w:val="27"/>
        </w:rPr>
        <w:t xml:space="preserve"> – отношение суммы издержек обращения к величине товарного оборота, выраженного в %.</w:t>
      </w:r>
    </w:p>
    <w:p>
      <w:pPr>
        <w:pStyle w:val="aff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Расходы делятся на:</w:t>
      </w:r>
    </w:p>
    <w:p>
      <w:pPr>
        <w:pStyle w:val="aff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постоянные – независимые товарообороты (арендная плата, текущий ремонт)</w:t>
      </w:r>
    </w:p>
    <w:p>
      <w:pPr>
        <w:pStyle w:val="affe"/>
        <w:spacing w:after="0" w:afterAutospacing="0" w:before="0" w:before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переменные – зависят от товарооборота.</w:t>
      </w:r>
    </w:p>
    <w:p>
      <w:pPr>
        <w:pStyle w:val="affe"/>
        <w:ind w:firstLine="709"/>
        <w:spacing w:after="0" w:afterAutospacing="0" w:before="0" w:beforeAutospacing="0"/>
        <w:rPr>
          <w:color w:val="000000"/>
          <w:sz w:val="27"/>
          <w:szCs w:val="27"/>
        </w:rPr>
      </w:pPr>
    </w:p>
    <w:p>
      <w:pPr>
        <w:pStyle w:val="21"/>
      </w:pPr>
      <w:r>
        <w:rPr>
          <w:b/>
        </w:rPr>
        <w:t>Чистая прибыль</w:t>
      </w:r>
      <w:r>
        <w:t>– это разница между валовой прибылью (торговыми наложениями) и издержками обращения.</w:t>
      </w:r>
    </w:p>
    <w:p>
      <w:pPr>
        <w:pStyle w:val="21"/>
      </w:pPr>
      <w:r>
        <w:rPr>
          <w:b/>
        </w:rPr>
        <w:t>Уровень чистой прибыли</w:t>
      </w:r>
      <w:r>
        <w:t xml:space="preserve"> – это отношение суммы чистой прибыли к валовой прибыли, выраженный в %.</w:t>
      </w:r>
    </w:p>
    <w:p>
      <w:pPr>
        <w:pStyle w:val="21"/>
      </w:pPr>
      <w:r>
        <w:rPr>
          <w:b/>
        </w:rPr>
        <w:t>Труд и зарплата</w:t>
      </w:r>
      <w:r>
        <w:t xml:space="preserve"> – планируется среднемесячный и среднегодовой список работников, фонд заработной платы и производительность труда</w:t>
      </w:r>
    </w:p>
    <w:p>
      <w:pPr>
        <w:pStyle w:val="21"/>
      </w:pPr>
      <w:r>
        <w:rPr>
          <w:b/>
        </w:rPr>
        <w:t>Нормативы товарных запасов</w:t>
      </w:r>
      <w:r>
        <w:t>– это оптимальный размер товарных запасов, обеспечивающий бесперебойную продажу товаров при минимуме затрат, устанавливается в сумме или днях</w:t>
      </w:r>
    </w:p>
    <w:p>
      <w:pPr>
        <w:pStyle w:val="21"/>
      </w:pPr>
      <w:r>
        <w:rPr>
          <w:b/>
          <w:color w:val="000000"/>
        </w:rPr>
        <w:t xml:space="preserve">Товарные запасы </w:t>
      </w:r>
      <w:r>
        <w:t>– это все товары, предназначенные для продажи, в том числе и товары в пути.</w:t>
      </w:r>
    </w:p>
    <w:p>
      <w:pPr>
        <w:pStyle w:val="21"/>
      </w:pPr>
      <w:r>
        <w:t>Товарные запасы измеряются в натуральных измерителях (стоящие на ПКУ), стоимостных измерителях и днях.</w:t>
      </w:r>
    </w:p>
    <w:p>
      <w:pPr>
        <w:spacing w:after="100" w:afterAutospacing="1" w:before="100" w:beforeAutospacing="1" w:line="240" w:lineRule="auto"/>
        <w:rPr>
          <w:rStyle w:val="ab"/>
        </w:rPr>
      </w:pPr>
      <w:r>
        <w:rPr>
          <w:rStyle w:val="ab"/>
        </w:rPr>
        <w:t>Товарные запасы = Зн + П – N</w:t>
      </w:r>
    </w:p>
    <w:p>
      <w:pPr>
        <w:spacing w:after="100" w:afterAutospacing="1" w:before="100" w:beforeAutospacing="1" w:line="240" w:lineRule="auto"/>
        <w:rPr>
          <w:rStyle w:val="ab"/>
        </w:rPr>
      </w:pPr>
      <w:r>
        <w:rPr>
          <w:rStyle w:val="ab"/>
        </w:rPr>
        <w:t>где Зн - запасы товаров на начало отчетного периода;</w:t>
      </w:r>
    </w:p>
    <w:p>
      <w:pPr>
        <w:spacing w:after="100" w:afterAutospacing="1" w:before="100" w:beforeAutospacing="1" w:line="240" w:lineRule="auto"/>
        <w:rPr>
          <w:rStyle w:val="ab"/>
        </w:rPr>
      </w:pPr>
      <w:r>
        <w:rPr>
          <w:rStyle w:val="ab"/>
        </w:rPr>
        <w:t>П - поступление товаров;</w:t>
      </w:r>
    </w:p>
    <w:p>
      <w:pPr>
        <w:spacing w:after="100" w:afterAutospacing="1" w:before="100" w:beforeAutospacing="1" w:line="240" w:lineRule="auto"/>
        <w:rPr>
          <w:rStyle w:val="ab"/>
        </w:rPr>
      </w:pPr>
      <w:r>
        <w:rPr>
          <w:rStyle w:val="ab"/>
        </w:rPr>
        <w:t>N – продажа товаров (реализация, объем розничного товарооборота).</w:t>
      </w:r>
    </w:p>
    <w:p>
      <w:pPr>
        <w:pStyle w:val="21"/>
        <w:rPr>
          <w:color w:val="000000"/>
        </w:rPr>
      </w:pPr>
      <w:r>
        <w:rPr>
          <w:b/>
          <w:color w:val="000000"/>
        </w:rPr>
        <w:t>Рентабельность</w:t>
      </w:r>
      <w:r>
        <w:rPr>
          <w:color w:val="000000"/>
        </w:rPr>
        <w:t xml:space="preserve"> - э</w:t>
      </w:r>
      <w:r>
        <w:t xml:space="preserve">то уровень прибыли. Она равна отношению прибыли к общему товарообороту, выраженному в %. </w:t>
      </w:r>
    </w:p>
    <w:p>
      <w:pPr>
        <w:pStyle w:val="21"/>
      </w:pPr>
      <w:r>
        <w:t>А также рентабельность равна разности между уровнем торговых наложений и уровнем издержек обращения.</w:t>
      </w:r>
    </w:p>
    <w:p>
      <w:pPr>
        <w:pStyle w:val="21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Товарооборачиваемость</w:t>
      </w:r>
      <w:r>
        <w:rPr>
          <w:color w:val="000000"/>
          <w:sz w:val="27"/>
          <w:szCs w:val="27"/>
        </w:rPr>
        <w:t xml:space="preserve"> – время, в течение которого реализуются товарные запасы в размере их средней величины за отчетный период.</w:t>
      </w:r>
    </w:p>
    <w:p>
      <w:pPr>
        <w:pStyle w:val="2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Товарооборачиваемость в днях= Товарные запасы*кол-во дней в периоде/ ТО розничный за анализируемый период.</w:t>
      </w:r>
    </w:p>
    <w:p>
      <w:pPr>
        <w:pStyle w:val="21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Коэффициент оборачиваемости товарных запасов</w:t>
      </w:r>
      <w:r>
        <w:rPr>
          <w:color w:val="000000"/>
          <w:sz w:val="27"/>
          <w:szCs w:val="27"/>
        </w:rPr>
        <w:t xml:space="preserve"> – отражаетколичество оборотов, которые совершают товарные запасы за отчетный период.</w:t>
      </w:r>
    </w:p>
    <w:p>
      <w:pPr>
        <w:pStyle w:val="21"/>
      </w:pPr>
      <w:r>
        <w:rPr>
          <w:b/>
          <w:color w:val="000000"/>
          <w:sz w:val="27"/>
          <w:szCs w:val="27"/>
        </w:rPr>
        <w:t>Коэффициент оборачиваемости товарных запасов</w:t>
      </w:r>
      <w:r>
        <w:rPr>
          <w:color w:val="000000"/>
          <w:sz w:val="27"/>
          <w:szCs w:val="27"/>
        </w:rPr>
        <w:t xml:space="preserve"> = Выручка от продаж/Средняя величина запасов. Коб= ТО/Товарные запасы</w:t>
      </w:r>
    </w:p>
    <w:p>
      <w:pPr>
        <w:jc w:val="both"/>
        <w:spacing w:after="0" w:line="240" w:lineRule="auto"/>
        <w:rPr>
          <w:rFonts w:ascii="Times New Roman" w:hAnsi="Times New Roman"/>
          <w:sz w:val="28"/>
          <w:szCs w:val="28"/>
          <w:u w:val="single" w:color="auto"/>
        </w:rPr>
      </w:pPr>
    </w:p>
    <w:p>
      <w:pPr>
        <w:pStyle w:val="21"/>
      </w:pPr>
    </w:p>
    <w:p>
      <w:pPr>
        <w:pStyle w:val="aff4"/>
      </w:pPr>
    </w:p>
    <w:p>
      <w:pPr>
        <w:pStyle w:val="aff4"/>
      </w:pPr>
    </w:p>
    <w:p>
      <w:pPr>
        <w:pStyle w:val="aff4"/>
      </w:pPr>
    </w:p>
    <w:p>
      <w:pPr>
        <w:pStyle w:val="aff4"/>
      </w:pPr>
    </w:p>
    <w:p>
      <w:pPr>
        <w:pStyle w:val="aff4"/>
      </w:pP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t>РАСЧЕТЫ ОСНОВНЫХ ЭКОНОМИЧЕСКИХ ПОКАЗАТЕЛЕЙ.</w:t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f3"/>
        <w:jc w:val="bot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Товарооборот (ТО).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за </w:t>
      </w:r>
      <w:r>
        <w:rPr>
          <w:lang w:val="en-US"/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квартал 2018 года = 11716269 рублей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f3"/>
        <w:jc w:val="bot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Валовая прибыль от розничной реализации (ВП).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 = 11716269 – 8980983 = 2735286 рублей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f3"/>
        <w:jc w:val="bot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валовой прибыли (УВП).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УВП = 4735286 / 11716269 = 23,24 %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f3"/>
        <w:jc w:val="bot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Издержки обращения (ИО).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ИО = 546780 рублей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f3"/>
        <w:jc w:val="bot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издержек обращения (УИО).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УИО = 546780 / 11716269 = 4,6 %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f3"/>
        <w:jc w:val="bot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Чистая прибыль (ЧП).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ЧП = 2735286 – 546780 = 2188506 рублей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f3"/>
        <w:jc w:val="bot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Рентабельность (Р).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 = 2188506 / 11716269 = 18,67 %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f3"/>
        <w:jc w:val="bot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Товарные запасы за 1 квартал (ТЗ).</w:t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ТЗ = 11730860 рублей</w:t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f3"/>
        <w:jc w:val="bot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Товарооборачиваемость (ТОБ).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ТОБ = 11730860 * 90 / 11716269 = 90,11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f3"/>
        <w:jc w:val="bot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Коэффициента оборачиваемости товарных запасов (Коб).</w:t>
      </w:r>
    </w:p>
    <w:p>
      <w:pPr>
        <w:pStyle w:val="af3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Коб = 11716269 / 11730860 = 0,99</w:t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Аптека рентабельна, выполнен план товарооборота, и получена торговой прибыли от деятельности.</w:t>
      </w:r>
    </w:p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ПРОГНОЗ НА </w:t>
      </w:r>
      <w:r>
        <w:rPr>
          <w:lang w:val="en-US"/>
          <w:rFonts w:ascii="Times New Roman" w:hAnsi="Times New Roman" w:cs="Times New Roman"/>
          <w:sz w:val="28"/>
          <w:szCs w:val="28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КВАРТАЛ:</w:t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= 11716269 + 7% = 12533685 рублей</w:t>
      </w:r>
    </w:p>
    <w:p>
      <w:pPr>
        <w:pStyle w:val="Style1"/>
        <w:ind w:left="0" w:right="144" w:firstLine="709"/>
        <w:jc w:val="both"/>
        <w:spacing w:line="240" w:lineRule="auto"/>
        <w:rPr>
          <w:sz w:val="28"/>
          <w:szCs w:val="28"/>
        </w:rPr>
      </w:pPr>
    </w:p>
    <w:p>
      <w:pPr>
        <w:pStyle w:val="a0"/>
        <w:jc w:val="center"/>
      </w:pPr>
      <w:r>
        <w:rPr>
          <w:rStyle w:val="ab"/>
          <w:iCs w:val="0"/>
          <w:color w:val="000000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t>ОТЧЕТ  ПО ПРОИЗВОДСТВЕННОЙ  ПРАКТИКЕ</w:t>
      </w:r>
    </w:p>
    <w:p>
      <w:pPr>
        <w:pStyle w:val="a0"/>
        <w:spacing w:after="0" w:line="100" w:lineRule="atLeast"/>
      </w:pPr>
      <w:r>
        <w:rPr>
          <w:rFonts w:ascii="Times New Roman" w:hAnsi="Times New Roman"/>
          <w:sz w:val="28"/>
          <w:szCs w:val="28"/>
        </w:rPr>
        <w:t xml:space="preserve">Ф.И.О. обучающегося </w:t>
      </w:r>
      <w:r>
        <w:rPr>
          <w:rFonts w:ascii="Times New Roman" w:hAnsi="Times New Roman"/>
          <w:sz w:val="28"/>
          <w:szCs w:val="28"/>
          <w:rtl w:val="off"/>
        </w:rPr>
        <w:t>Хетчикова Маргарита Юрьевна</w:t>
      </w:r>
    </w:p>
    <w:p>
      <w:pPr>
        <w:pStyle w:val="a0"/>
        <w:spacing w:after="0" w:line="100" w:lineRule="atLeast"/>
      </w:pPr>
      <w:r>
        <w:rPr>
          <w:rFonts w:ascii="Times New Roman" w:hAnsi="Times New Roman"/>
          <w:sz w:val="28"/>
          <w:szCs w:val="28"/>
        </w:rPr>
        <w:t>Группа</w:t>
      </w:r>
      <w:r>
        <w:rPr>
          <w:rFonts w:ascii="Times New Roman" w:hAnsi="Times New Roman"/>
          <w:sz w:val="28"/>
          <w:szCs w:val="28"/>
          <w:rtl w:val="off"/>
        </w:rPr>
        <w:t xml:space="preserve"> </w:t>
      </w:r>
      <w:r>
        <w:rPr>
          <w:rFonts w:ascii="Times New Roman" w:hAnsi="Times New Roman"/>
          <w:sz w:val="28"/>
          <w:szCs w:val="28"/>
          <w:u w:val="single" w:color="auto"/>
          <w:rtl w:val="off"/>
        </w:rPr>
        <w:t>302</w:t>
      </w:r>
      <w:r>
        <w:rPr>
          <w:rFonts w:ascii="Times New Roman" w:hAnsi="Times New Roman"/>
          <w:sz w:val="28"/>
          <w:szCs w:val="28"/>
          <w:rtl w:val="off"/>
        </w:rPr>
        <w:t xml:space="preserve"> </w:t>
      </w:r>
      <w:r>
        <w:rPr>
          <w:rFonts w:ascii="Times New Roman" w:hAnsi="Times New Roman"/>
          <w:sz w:val="28"/>
          <w:szCs w:val="28"/>
        </w:rPr>
        <w:t>Специальность</w:t>
      </w:r>
      <w:r>
        <w:rPr>
          <w:rFonts w:ascii="Times New Roman" w:hAnsi="Times New Roman"/>
          <w:sz w:val="28"/>
          <w:szCs w:val="28"/>
          <w:rtl w:val="off"/>
        </w:rPr>
        <w:t xml:space="preserve"> </w:t>
      </w:r>
      <w:r>
        <w:rPr>
          <w:rFonts w:ascii="Times New Roman" w:hAnsi="Times New Roman"/>
          <w:sz w:val="28"/>
          <w:szCs w:val="28"/>
          <w:u w:val="single" w:color="auto"/>
          <w:rtl w:val="off"/>
        </w:rPr>
        <w:t>Фармация</w:t>
      </w:r>
    </w:p>
    <w:p>
      <w:pPr>
        <w:pStyle w:val="a0"/>
        <w:spacing w:after="0" w:line="100" w:lineRule="atLeast"/>
      </w:pPr>
      <w:r>
        <w:rPr>
          <w:rFonts w:ascii="Times New Roman" w:hAnsi="Times New Roman"/>
          <w:sz w:val="28"/>
          <w:szCs w:val="28"/>
        </w:rPr>
        <w:t xml:space="preserve">Проходившего производственную практику </w:t>
      </w:r>
      <w:r>
        <w:rPr>
          <w:rFonts w:ascii="Times New Roman" w:hAnsi="Times New Roman"/>
          <w:color w:val="000000"/>
          <w:sz w:val="28"/>
          <w:szCs w:val="27"/>
        </w:rPr>
        <w:t>с «</w:t>
      </w:r>
      <w:r>
        <w:rPr>
          <w:rFonts w:ascii="Times New Roman" w:hAnsi="Times New Roman"/>
          <w:color w:val="000000"/>
          <w:sz w:val="28"/>
          <w:szCs w:val="27"/>
          <w:rtl w:val="off"/>
        </w:rPr>
        <w:t>11.05</w:t>
      </w:r>
      <w:r>
        <w:rPr>
          <w:rFonts w:ascii="Times New Roman" w:hAnsi="Times New Roman"/>
          <w:color w:val="000000"/>
          <w:sz w:val="28"/>
          <w:szCs w:val="27"/>
        </w:rPr>
        <w:t>» 20</w:t>
      </w:r>
      <w:r>
        <w:rPr>
          <w:rFonts w:ascii="Times New Roman" w:hAnsi="Times New Roman"/>
          <w:color w:val="000000"/>
          <w:sz w:val="28"/>
          <w:szCs w:val="27"/>
          <w:rtl w:val="off"/>
        </w:rPr>
        <w:t>20</w:t>
      </w:r>
      <w:r>
        <w:rPr>
          <w:rFonts w:ascii="Times New Roman" w:hAnsi="Times New Roman"/>
          <w:color w:val="000000"/>
          <w:sz w:val="28"/>
          <w:szCs w:val="27"/>
        </w:rPr>
        <w:t>г. по «</w:t>
      </w:r>
      <w:r>
        <w:rPr>
          <w:rFonts w:ascii="Times New Roman" w:hAnsi="Times New Roman"/>
          <w:color w:val="000000"/>
          <w:sz w:val="28"/>
          <w:szCs w:val="27"/>
          <w:rtl w:val="off"/>
        </w:rPr>
        <w:t>23.05</w:t>
      </w:r>
      <w:r>
        <w:rPr>
          <w:rFonts w:ascii="Times New Roman" w:hAnsi="Times New Roman"/>
          <w:color w:val="000000"/>
          <w:sz w:val="28"/>
          <w:szCs w:val="27"/>
        </w:rPr>
        <w:t xml:space="preserve">» </w:t>
      </w:r>
      <w:r>
        <w:rPr>
          <w:rFonts w:ascii="Times New Roman" w:hAnsi="Times New Roman"/>
          <w:color w:val="000000"/>
          <w:sz w:val="28"/>
          <w:szCs w:val="27"/>
          <w:rtl w:val="off"/>
        </w:rPr>
        <w:t>2020</w:t>
      </w:r>
      <w:r>
        <w:rPr>
          <w:rFonts w:ascii="Times New Roman" w:hAnsi="Times New Roman"/>
          <w:color w:val="000000"/>
          <w:sz w:val="28"/>
          <w:szCs w:val="27"/>
        </w:rPr>
        <w:t>г.</w:t>
      </w:r>
    </w:p>
    <w:p>
      <w:pPr>
        <w:pStyle w:val="a0"/>
        <w:spacing w:after="0" w:line="100" w:lineRule="atLeast"/>
      </w:pPr>
    </w:p>
    <w:p>
      <w:pPr>
        <w:pStyle w:val="a0"/>
        <w:spacing w:after="0" w:line="100" w:lineRule="atLeast"/>
      </w:pPr>
      <w:r>
        <w:rPr>
          <w:rFonts w:ascii="Times New Roman" w:hAnsi="Times New Roman"/>
          <w:sz w:val="28"/>
          <w:szCs w:val="28"/>
        </w:rPr>
        <w:t>На базе</w:t>
      </w:r>
      <w:r>
        <w:rPr>
          <w:rFonts w:ascii="Times New Roman" w:hAnsi="Times New Roman"/>
          <w:color w:val="000000"/>
          <w:sz w:val="28"/>
          <w:szCs w:val="28"/>
          <w:u w:val="single" w:color="auto"/>
          <w:rtl w:val="off"/>
        </w:rPr>
        <w:t>ООО “Гармония здоровья” Аптека №1 Красноярский рабочий, 129 ИНН 2464238470</w:t>
      </w:r>
    </w:p>
    <w:p>
      <w:pPr>
        <w:pStyle w:val="a0"/>
        <w:spacing w:after="0" w:line="100" w:lineRule="atLeast"/>
      </w:pPr>
    </w:p>
    <w:p>
      <w:pPr>
        <w:pStyle w:val="a0"/>
        <w:spacing w:after="0" w:line="100" w:lineRule="atLeast"/>
      </w:pPr>
      <w:r>
        <w:rPr>
          <w:rFonts w:ascii="Times New Roman" w:hAnsi="Times New Roman"/>
          <w:sz w:val="28"/>
          <w:szCs w:val="28"/>
        </w:rPr>
        <w:t>Города/района</w:t>
      </w:r>
      <w:r>
        <w:rPr>
          <w:rFonts w:ascii="Times New Roman" w:hAnsi="Times New Roman"/>
          <w:sz w:val="28"/>
          <w:szCs w:val="28"/>
          <w:rtl w:val="off"/>
        </w:rPr>
        <w:t xml:space="preserve"> </w:t>
      </w:r>
      <w:r>
        <w:rPr>
          <w:rFonts w:ascii="Times New Roman" w:hAnsi="Times New Roman"/>
          <w:sz w:val="28"/>
          <w:szCs w:val="28"/>
          <w:u w:val="single" w:color="auto"/>
          <w:rtl w:val="off"/>
        </w:rPr>
        <w:t>Красноярска</w:t>
      </w:r>
    </w:p>
    <w:p>
      <w:pPr>
        <w:pStyle w:val="a0"/>
        <w:spacing w:after="0" w:line="100" w:lineRule="atLeast"/>
      </w:pPr>
    </w:p>
    <w:p>
      <w:pPr>
        <w:pStyle w:val="a0"/>
        <w:spacing w:after="0" w:line="100" w:lineRule="atLeast"/>
      </w:pPr>
      <w:r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>
      <w:pPr>
        <w:pStyle w:val="a0"/>
        <w:spacing w:after="0" w:line="100" w:lineRule="atLeast"/>
      </w:pPr>
    </w:p>
    <w:p>
      <w:pPr>
        <w:pStyle w:val="a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W w:w="0" w:type="auto"/>
        <w:tblInd w:w="-23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ook w:val="0000" w:firstRow="0" w:lastRow="0" w:firstColumn="0" w:lastColumn="0" w:noHBand="0" w:noVBand="0"/>
        <w:tblCellMar>
          <w:top w:w="0" w:type="dxa"/>
          <w:left w:w="10" w:type="dxa"/>
          <w:bottom w:w="0" w:type="dxa"/>
          <w:right w:w="10" w:type="dxa"/>
        </w:tblCellMar>
      </w:tblPr>
      <w:tblGrid>
        <w:gridCol w:w="531"/>
        <w:gridCol w:w="5951"/>
        <w:gridCol w:w="2804"/>
      </w:tblGrid>
      <w:tr>
        <w:trPr>
          <w:cantSplit/>
          <w:trHeight w:val="356" w:hRule="atLeast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jc w:val="center"/>
              <w:spacing w:after="0" w:line="100" w:lineRule="atLeast"/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jc w:val="center"/>
              <w:spacing w:after="0" w:line="100" w:lineRule="atLeast"/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>
        <w:trPr>
          <w:cantSplit/>
          <w:trHeight w:val="466" w:hRule="atLeast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pacing w:val="-10"/>
              </w:rPr>
              <w:t>Рассчитаны экономические показатели по месячным отчетам аптечной организации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off"/>
              </w:rPr>
              <w:t>6</w:t>
            </w:r>
          </w:p>
        </w:tc>
      </w:tr>
      <w:tr>
        <w:trPr>
          <w:cantSplit/>
          <w:trHeight w:val="488" w:hRule="atLeast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pacing w:val="-10"/>
              </w:rPr>
              <w:t>Рассчитаны экономические показатели по квартальным отчетам аптечной организации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off"/>
              </w:rPr>
              <w:t>6</w:t>
            </w:r>
          </w:p>
        </w:tc>
      </w:tr>
      <w:tr>
        <w:trPr>
          <w:cantSplit/>
          <w:trHeight w:val="466" w:hRule="atLeast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pacing w:val="-10"/>
              </w:rPr>
              <w:t>Рассчитаны экономические показатели по годовым отчетам аптечной организации)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off"/>
              </w:rPr>
              <w:t>12</w:t>
            </w:r>
          </w:p>
        </w:tc>
      </w:tr>
    </w:tbl>
    <w:p>
      <w:pPr>
        <w:pStyle w:val="a0"/>
        <w:spacing w:after="0"/>
      </w:pPr>
    </w:p>
    <w:p>
      <w:pPr>
        <w:pStyle w:val="a0"/>
        <w:spacing w:after="0"/>
      </w:pPr>
    </w:p>
    <w:p>
      <w:pPr>
        <w:pStyle w:val="a0"/>
        <w:spacing w:after="0"/>
        <w:rPr>
          <w:rStyle w:val="ab"/>
          <w:iCs w:val="0"/>
          <w:color w:val="000000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>
        <w:drawing>
          <wp:inline distT="0" distB="0" distL="180" distR="180">
            <wp:extent cx="5940425" cy="9251950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195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Calibri">
    <w:panose1 w:val="020F0502020204030204"/>
    <w:family w:val="swiss"/>
    <w:charset w:val="cc"/>
    <w:notTrueType w:val="false"/>
    <w:sig w:usb0="E0002EFF" w:usb1="C000247B" w:usb2="00000009" w:usb3="00000001" w:csb0="200001FF" w:csb1="00000001"/>
  </w:font>
  <w:font w:name="SimSun">
    <w:panose1 w:val="02010600030101010101"/>
    <w:family w:val="auto"/>
    <w:charset w:val="86"/>
    <w:notTrueType w:val="false"/>
    <w:sig w:usb0="00000003" w:usb1="288F0000" w:usb2="00000006" w:usb3="00000001" w:csb0="00040001" w:csb1="00000001"/>
  </w:font>
  <w:font w:name="Courier New">
    <w:panose1 w:val="02070309020205020404"/>
    <w:family w:val="modern"/>
    <w:charset w:val="cc"/>
    <w:notTrueType w:val="false"/>
    <w:sig w:usb0="E0002EFF" w:usb1="C0007843" w:usb2="00000009" w:usb3="00000001" w:csb0="400001FF" w:csb1="FFFF0000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4e277894"/>
    <w:multiLevelType w:val="multilevel"/>
    <w:tmpl w:val="4a7035e6"/>
    <w:lvl w:ilvl="0">
      <w:start w:val="1"/>
      <w:numFmt w:val="none"/>
      <w:lvlJc w:val="left"/>
      <w:suff w:val="nothing"/>
      <w:pPr>
        <w:ind w:left="432" w:hanging="432"/>
        <w:tabs>
          <w:tab w:val="num" w:pos="432"/>
        </w:tabs>
      </w:pPr>
      <w:rPr>
        <w:rFonts w:cs="Times New Roman"/>
      </w:rPr>
    </w:lvl>
    <w:lvl w:ilvl="1">
      <w:start w:val="1"/>
      <w:numFmt w:val="none"/>
      <w:lvlJc w:val="left"/>
      <w:suff w:val="nothing"/>
      <w:pPr>
        <w:ind w:left="576" w:hanging="576"/>
        <w:tabs>
          <w:tab w:val="num" w:pos="576"/>
        </w:tabs>
      </w:pPr>
      <w:rPr>
        <w:rFonts w:cs="Times New Roman"/>
      </w:rPr>
    </w:lvl>
    <w:lvl w:ilvl="2">
      <w:start w:val="1"/>
      <w:numFmt w:val="none"/>
      <w:lvlJc w:val="left"/>
      <w:suff w:val="nothing"/>
      <w:pPr>
        <w:ind w:left="720" w:hanging="720"/>
        <w:tabs>
          <w:tab w:val="num" w:pos="720"/>
        </w:tabs>
      </w:pPr>
      <w:rPr>
        <w:rFonts w:cs="Times New Roman"/>
      </w:rPr>
    </w:lvl>
    <w:lvl w:ilvl="3">
      <w:start w:val="1"/>
      <w:numFmt w:val="none"/>
      <w:lvlJc w:val="left"/>
      <w:suff w:val="nothing"/>
      <w:pPr>
        <w:ind w:left="864" w:hanging="864"/>
        <w:tabs>
          <w:tab w:val="num" w:pos="864"/>
        </w:tabs>
      </w:pPr>
      <w:rPr>
        <w:rFonts w:cs="Times New Roman"/>
      </w:rPr>
    </w:lvl>
    <w:lvl w:ilvl="4">
      <w:start w:val="1"/>
      <w:numFmt w:val="none"/>
      <w:lvlJc w:val="left"/>
      <w:suff w:val="nothing"/>
      <w:pPr>
        <w:ind w:left="1008" w:hanging="1008"/>
        <w:tabs>
          <w:tab w:val="num" w:pos="1008"/>
        </w:tabs>
      </w:pPr>
      <w:rPr>
        <w:rFonts w:cs="Times New Roman"/>
      </w:rPr>
    </w:lvl>
    <w:lvl w:ilvl="5">
      <w:start w:val="1"/>
      <w:numFmt w:val="none"/>
      <w:lvlJc w:val="left"/>
      <w:suff w:val="nothing"/>
      <w:pPr>
        <w:ind w:left="1152" w:hanging="1152"/>
        <w:tabs>
          <w:tab w:val="num" w:pos="1152"/>
        </w:tabs>
      </w:pPr>
      <w:rPr>
        <w:rFonts w:cs="Times New Roman"/>
      </w:rPr>
    </w:lvl>
    <w:lvl w:ilvl="6">
      <w:start w:val="1"/>
      <w:numFmt w:val="none"/>
      <w:lvlJc w:val="left"/>
      <w:suff w:val="nothing"/>
      <w:pPr>
        <w:ind w:left="1296" w:hanging="1296"/>
        <w:tabs>
          <w:tab w:val="num" w:pos="1296"/>
        </w:tabs>
      </w:pPr>
      <w:rPr>
        <w:rFonts w:cs="Times New Roman"/>
      </w:rPr>
    </w:lvl>
    <w:lvl w:ilvl="7">
      <w:start w:val="1"/>
      <w:numFmt w:val="none"/>
      <w:lvlJc w:val="left"/>
      <w:suff w:val="nothing"/>
      <w:pPr>
        <w:ind w:left="1440" w:hanging="1440"/>
        <w:tabs>
          <w:tab w:val="num" w:pos="1440"/>
        </w:tabs>
      </w:pPr>
      <w:rPr>
        <w:rFonts w:cs="Times New Roman"/>
      </w:rPr>
    </w:lvl>
    <w:lvl w:ilvl="8">
      <w:start w:val="1"/>
      <w:numFmt w:val="none"/>
      <w:lvlJc w:val="left"/>
      <w:suff w:val="nothing"/>
      <w:pPr>
        <w:ind w:left="1584" w:hanging="1584"/>
        <w:tabs>
          <w:tab w:val="num" w:pos="1584"/>
        </w:tabs>
      </w:pPr>
      <w:rPr>
        <w:rFonts w:cs="Times New Roman"/>
      </w:rPr>
    </w:lvl>
  </w:abstractNum>
  <w:abstractNum w:abstractNumId="1">
    <w:nsid w:val="52bb1063"/>
    <w:multiLevelType w:val="multilevel"/>
    <w:tmpl w:val="abaa3060"/>
    <w:lvl w:ilvl="0">
      <w:start w:val="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cbe7498"/>
    <w:multiLevelType w:val="multilevel"/>
    <w:tmpl w:val="93466f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038c4"/>
    <w:multiLevelType w:val="hybridMultilevel"/>
    <w:tmpl w:val="984028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a25d4"/>
    <w:multiLevelType w:val="multilevel"/>
    <w:tmpl w:val="c4f6c6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6e7063"/>
    <w:multiLevelType w:val="hybridMultilevel"/>
    <w:tmpl w:val="a074342a"/>
    <w:lvl w:ilvl="0" w:tplc="419000f">
      <w:start w:val="1"/>
      <w:lvlText w:val="%1."/>
      <w:lvlJc w:val="left"/>
      <w:pPr>
        <w:ind w:left="720" w:hanging="360"/>
      </w:p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93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ru-RU" w:bidi="ar-SA"/>
        <w:rFonts w:ascii="Calibri" w:eastAsia="Calibri" w:hAnsi="Calibri" w:cs="Times New Roman"/>
        <w:sz w:val="22"/>
        <w:szCs w:val="22"/>
      </w:rPr>
    </w:rPrDefault>
    <w:pPrDefault>
      <w:pPr/>
    </w:pPrDefault>
  </w:docDefaults>
  <w:style w:type="paragraph" w:default="1" w:styleId="a1">
    <w:name w:val="Normal"/>
    <w:qFormat/>
    <w:pPr>
      <w:spacing w:after="200" w:line="276" w:lineRule="auto"/>
    </w:pPr>
    <w:rPr>
      <w:rFonts w:eastAsia="Times New Roman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customStyle="1" w:styleId="a0">
    <w:name w:val="Базовый"/>
    <w:pPr>
      <w:suppressAutoHyphens/>
      <w:suppressAutoHyphens/>
      <w:tabs>
        <w:tab w:val="left" w:pos="708"/>
      </w:tabs>
      <w:spacing w:after="200" w:line="276" w:lineRule="auto"/>
    </w:pPr>
    <w:rPr>
      <w:rFonts w:eastAsia="SimSun"/>
    </w:rPr>
  </w:style>
  <w:style w:type="paragraph" w:styleId="aff4">
    <w:name w:val="Body Text"/>
    <w:basedOn w:val="a1"/>
    <w:link w:val="Normal"/>
    <w:semiHidden/>
    <w:pPr>
      <w:spacing w:after="120"/>
    </w:pPr>
  </w:style>
  <w:style w:type="paragraph" w:styleId="aff8">
    <w:name w:val="Body Text Indent"/>
    <w:basedOn w:val="a0"/>
    <w:link w:val="Normal"/>
    <w:pPr>
      <w:ind w:left="283"/>
      <w:spacing w:after="120"/>
    </w:pPr>
  </w:style>
  <w:style w:type="paragraph" w:styleId="21">
    <w:name w:val="heading 2"/>
    <w:basedOn w:val="a0"/>
    <w:next w:val="a1"/>
    <w:link w:val="Normal"/>
    <w:qFormat/>
    <w:pPr>
      <w:ind w:firstLine="567"/>
      <w:keepNext/>
      <w:outlineLvl w:val="1"/>
      <w:jc w:val="both"/>
      <w:tabs>
        <w:tab w:val="num" w:pos="576"/>
      </w:tabs>
      <w:spacing w:after="0" w:line="100" w:lineRule="atLeast"/>
    </w:pPr>
    <w:rPr>
      <w:rFonts w:ascii="Times New Roman" w:eastAsia="Times New Roman" w:hAnsi="Times New Roman"/>
      <w:sz w:val="28"/>
      <w:szCs w:val="20"/>
    </w:rPr>
  </w:style>
  <w:style w:type="paragraph" w:styleId="a5">
    <w:name w:val="No Spacing"/>
    <w:qFormat/>
    <w:pPr>
      <w:suppressAutoHyphens/>
      <w:suppressAutoHyphens/>
      <w:tabs>
        <w:tab w:val="left" w:pos="708"/>
      </w:tabs>
      <w:spacing w:line="100" w:lineRule="atLeast"/>
    </w:pPr>
    <w:rPr>
      <w:rFonts w:eastAsia="SimSun"/>
    </w:rPr>
  </w:style>
  <w:style w:type="character" w:styleId="ab">
    <w:name w:val="Emphasis"/>
    <w:basedOn w:val="a2"/>
    <w:qFormat/>
    <w:rPr>
      <w:rFonts w:ascii="Times New Roman" w:hAnsi="Times New Roman"/>
      <w:i w:val="0"/>
      <w:iCs/>
      <w:color w:val="000000"/>
      <w:sz w:val="28"/>
    </w:rPr>
  </w:style>
  <w:style w:type="paragraph" w:customStyle="1" w:styleId="PlainText1">
    <w:name w:val="Plain Text1"/>
    <w:basedOn w:val="a0"/>
    <w:pPr>
      <w:spacing w:after="0" w:line="100" w:lineRule="atLeast"/>
      <w:textAlignment w:val="baseline"/>
    </w:pPr>
    <w:rPr>
      <w:rFonts w:ascii="Courier New" w:eastAsia="Times New Roman" w:hAnsi="Courier New"/>
      <w:sz w:val="20"/>
      <w:szCs w:val="20"/>
    </w:rPr>
  </w:style>
  <w:style w:type="paragraph" w:customStyle="1" w:styleId="Style1">
    <w:name w:val="Style 1"/>
    <w:basedOn w:val="a0"/>
    <w:pPr>
      <w:ind w:left="432" w:hanging="288"/>
      <w:widowControl w:val="off"/>
      <w:tabs>
        <w:tab w:val="left" w:pos="828"/>
      </w:tabs>
      <w:spacing w:after="0" w:line="432" w:lineRule="exact"/>
    </w:pPr>
    <w:rPr>
      <w:rFonts w:ascii="Times New Roman" w:eastAsia="Times New Roman" w:hAnsi="Times New Roman"/>
      <w:color w:val="000000"/>
      <w:sz w:val="20"/>
      <w:szCs w:val="20"/>
    </w:rPr>
  </w:style>
  <w:style w:type="paragraph" w:styleId="af3">
    <w:name w:val="List Paragraph"/>
    <w:basedOn w:val="a1"/>
    <w:qFormat/>
    <w:pPr>
      <w:ind w:left="720"/>
      <w:contextualSpacing/>
    </w:pPr>
  </w:style>
  <w:style w:type="paragraph" w:styleId="affe">
    <w:name w:val="Normal (Web)"/>
    <w:basedOn w:val="a1"/>
    <w:semiHidden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</w:rPr>
  </w:style>
  <w:style w:type="paragraph" w:styleId="29">
    <w:name w:val="Body Text 2"/>
    <w:basedOn w:val="a0"/>
    <w:link w:val="Normal"/>
    <w:pPr>
      <w:spacing w:after="120" w:line="48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image" Target="media/image1.jpeg" /><Relationship Id="rId1" Type="http://schemas.openxmlformats.org/officeDocument/2006/relationships/image" Target="media/image2.jpeg" /><Relationship Id="rId2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settings" Target="settings.xml" /><Relationship Id="rId10" Type="http://schemas.openxmlformats.org/officeDocument/2006/relationships/fontTable" Target="fontTable.xml" /><Relationship Id="rId11" Type="http://schemas.openxmlformats.org/officeDocument/2006/relationships/webSettings" Target="webSettings.xml" /><Relationship Id="rId12" Type="http://schemas.openxmlformats.org/officeDocument/2006/relationships/numbering" Target="numbering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SimSun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SimSu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marga</cp:lastModifiedBy>
  <cp:revision>1</cp:revision>
  <dcterms:created xsi:type="dcterms:W3CDTF">2018-04-27T11:25:00Z</dcterms:created>
  <dcterms:modified xsi:type="dcterms:W3CDTF">2020-05-29T10:56:46Z</dcterms:modified>
  <cp:version>0900.0100.01</cp:version>
</cp:coreProperties>
</file>