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C8E" w:rsidRPr="00005C8E" w:rsidRDefault="00005C8E" w:rsidP="00005C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ФГБОУ ВО</w:t>
      </w:r>
    </w:p>
    <w:p w:rsidR="00005C8E" w:rsidRPr="00005C8E" w:rsidRDefault="00005C8E" w:rsidP="00005C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"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Красноярскии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университет</w:t>
      </w:r>
    </w:p>
    <w:p w:rsidR="00005C8E" w:rsidRPr="00005C8E" w:rsidRDefault="00005C8E" w:rsidP="00005C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имени профессора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В.Ф.Войно-Ясенецкого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" Министерства здравоохранения</w:t>
      </w:r>
    </w:p>
    <w:p w:rsidR="00005C8E" w:rsidRPr="00005C8E" w:rsidRDefault="00005C8E" w:rsidP="00005C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Российскои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Федерации</w:t>
      </w:r>
    </w:p>
    <w:p w:rsidR="00005C8E" w:rsidRPr="00005C8E" w:rsidRDefault="00005C8E" w:rsidP="00005C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Кафедра анестезиологии и реаниматологии ИПО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>
        <w:rPr>
          <w:rFonts w:ascii="Times New Roman,Bold" w:eastAsia="Times New Roman" w:hAnsi="Times New Roman,Bold" w:cs="Times New Roman"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                       </w:t>
      </w:r>
      <w:r w:rsidRPr="00005C8E">
        <w:rPr>
          <w:rFonts w:ascii="Times New Roman,Bold" w:eastAsia="Times New Roman" w:hAnsi="Times New Roman,Bold" w:cs="Times New Roman"/>
          <w:b/>
          <w:bCs/>
          <w:kern w:val="0"/>
          <w:sz w:val="32"/>
          <w:szCs w:val="32"/>
          <w:shd w:val="clear" w:color="auto" w:fill="FFFFFF"/>
          <w:lang w:eastAsia="ru-RU"/>
          <w14:ligatures w14:val="none"/>
        </w:rPr>
        <w:t xml:space="preserve">Фармакология местных анестетиков </w:t>
      </w: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:rsidR="00005C8E" w:rsidRPr="00005C8E" w:rsidRDefault="00005C8E" w:rsidP="00005C8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Оджагвердиева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Ординатор 1 года </w:t>
      </w: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Красноярск 2024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lastRenderedPageBreak/>
        <w:t>Местные анестетики</w:t>
      </w:r>
      <w:proofErr w:type="gram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это</w:t>
      </w:r>
      <w:proofErr w:type="gram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средства, вызывающие местную потерю чувствительности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тканеи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̆, блокируя проведение импульсов в нервных волокнах. В первую очередь они устраняют чувство боли. Большинство местных анестетиков являются слабыми основаниями и при рН=7,4 находятся в основном в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ионизированнои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протоннои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̆) форме. Местные анестетики проникают в нервы вне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ионизированнои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липофильнои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̆) форме, но внутри аксона могут превращаться в ионизированные молекулы. Проникая в аксон, они блокируют Na+ -каналы, препятствуя генерации потенциала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 местным анестетикам чувствительны все нервные волокна, хотя, как правило, мелкие нервные волокна более чувствительны, чем крупные. Благодаря этому происходит последовательное выключение различных видов чувствительности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тканеи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̆: в первую очередь выключается болевая чувствительность, затем температурная, в последнюю очередь - тактильная. При использовании местных анестетиков в высоких дозах блокируются и двигательные нервные волокна. Местные анестетики различаются по силе и продолжительности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токсичности, способности всасываться через слизистые оболочки. Наряду с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местноанестезирующим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препараты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группы могут оказывать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целыи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ряд резорбтивных эффектов. Так, например, местные анестетики обладают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кардиодепрессивным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оказывают существенное влияние на ЦНС. Синтетические вещества вызывают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седативныи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эффект, хотя иногда могут возникать волнение 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беспокойство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возможно, из-за угнетения центральных тормозных синапсов. В высоких дозах местные анестетики могут вызывать диплопию и другие нарушения зрения, в токсических дозах - судороги и кому; результатом их тормозного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уровне продолговатого мозга является угнетение дыхания 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сердечнои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деятельности. Кокаин оказывает преимущественно стимулирующее влияние на ЦНС, но при использовании препарата в высоких дозах возбуждение ЦНС сменяется её угнетением. При отравлении кокаином смерть наступает от угнетения дыхательного центра. Одним из наиболее широко используемых местных анестетиков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является</w:t>
      </w: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лидокаин</w:t>
      </w:r>
      <w:proofErr w:type="spellEnd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лигнокаин</w:t>
      </w:r>
      <w:proofErr w:type="spellEnd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)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Препарат эффективен при всех видах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анестезии,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его развивается быстро и продолжается около 90 минут. Сходным с лидокаином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обладает 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прилокаин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но он является менее активным и менее токсичным, так как более интенсивно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метаболизируется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организме. Препаратом длительного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является 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бупивакаин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Его эффект проявляется в среднем через 30 минут после введения и продолжается до 8 часов.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Бупивакаин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часто используют для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эпидуральнои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анестезии для обезболивания родов. </w:t>
      </w: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Анестезин (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бензокаин</w:t>
      </w:r>
      <w:proofErr w:type="spellEnd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)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плохо растворим в воде, поэтому используется только для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поверхностнои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анестезии невоспаленных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тканеи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(например,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слизистои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ротовои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полости и глотки). Более токсичные </w:t>
      </w:r>
      <w:proofErr w:type="spellStart"/>
      <w:proofErr w:type="gram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препараты,</w:t>
      </w: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дикаин</w:t>
      </w:r>
      <w:proofErr w:type="spellEnd"/>
      <w:proofErr w:type="gramEnd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аметокаин</w:t>
      </w:r>
      <w:proofErr w:type="spellEnd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)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кокаин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имеют ограниченное применение. Кокаин первоначально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использовался для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поверхностнои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анестезии, когда желательным было его сосудосуживающее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(например, на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слизистои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носа). Глазные капли с </w:t>
      </w: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дикаином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используют в офтальмологии для анестезии роговицы, однако и в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этом случае предпочтение отдается менее токсичным местным анестетикам 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оксибупрокаину</w:t>
      </w:r>
      <w:proofErr w:type="spellEnd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 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проксиметакаину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так как они оказывают меньшее раздражающее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При использовании местных анестетиков возможно появление аллергических реакций, которые наиболее часто отмечаются в ответ на введение новокаина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прокаина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и других эфиров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парааминобензойнои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кислоты.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мембранах нервных волокон имеются специфические Na+ -каналы, которые состоят из а-субъединицы (большого гликопротеина) и двух меньших Р-субъединиц (гликопротеинов). а-субъединица имеет четыре идентичных домена,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каждыи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из которых состоит из шести покрытых мембранами а-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спиралеи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(S1-S6). 24 цилиндрические спирали, располагаясь радиально внутри мемб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>раны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формируют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центральныи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канал. Функция р- субъединиц не изучена. Как именно функционируют Na+ -каналы, неизвестно, но их проводимость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gNa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+) выражается следующим образом: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gNa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+ =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gNa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+ m3h, где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gNa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+ - максимально возможная проводимость, а т и h - константы проводимости, которые зависят от величины потенциала мемб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>раны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Во время потенциала покоя большинство h-ворот открыто, а т- ворота закрыты (канал закрыт). Медленная деполяризация вызывает открытие т-ворот (канал открыт), но быстрая деполяризация во время генерации потенциала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вновь при водит к закрытию Na+ -канала (инактивация канала). h-ворота представлены четырьмя позитивно заряженными S4 спиралями, которые закрывают канал, продвигаясь к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наружнои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части мемб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>раны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 ответ на ее деполяризацию. h-ворота (в период инактивации) могут перекрестно связывать S3 и S5 спирали; эти процессы протекают во внутренних устьях канала.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Потенциал </w:t>
      </w:r>
      <w:proofErr w:type="spellStart"/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Если достаточное число Na+ -каналов открыто, то количество входящих в аксон Na+ превышает количество выходящих К+, что В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дальнейшем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приводит к деполяризации мемб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>раны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Это способствует еще большему открытию Na+ -каналов, в результате чего происходит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дальнейшая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деполяризация мемб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>раны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что приводит к открытию еще большего числа Na+-каналов и так далее.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Быстрыи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поток Na+ внутрь клетки вызывает деполяризацию мемб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 xml:space="preserve">раны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 равновесного Na+ -потенциала (около +67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mV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). Затем инактивация Na+ -каналов 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продолжающийся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ток К+ при водит к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реполяризации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мемб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>раны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В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дальнейшем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натриевыи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насос восстанавливает потерянные К+ и удаляет избыточные Na+.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Механизм </w:t>
      </w:r>
      <w:proofErr w:type="spellStart"/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местных анестетиков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Местные анестетики проникают внутрь аксона в форме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липофильных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оснований. Внутри нервного волокна местные анестетики переходят в ионизированную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протоновую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форму и вызывают блок Na+ -каналов в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результате соединения с рецептором. Таким образом, четвертичные (полностью ионизированные) местные анестетики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действуют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внутри нервного волокна, а неионизированные соединения (например, анестезин) растворяются в мембране, блокируя Na+ -каналы полностью или частично. Как ионизированные, так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инеионизированные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молекулы местных анестетиков блокируют Na+ -каналы,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¬\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реждая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открытие h-ворот (т.е. вызывая инактивацию каналов). В итоге инактивируется так много Na+ - каналов, что число открытых Na+ -каналов падает ниже определенного минимума, необходимого для достижения критического уровня деполяризации, в результате потенциал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не генерируется и возникает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нервныи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блок. Отмечено, что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нервныи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блок усиливается пропорционально усилению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нервнои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стимуляции. Это связано с тем, что большая часть молекул местных анестетиков (в их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ионизированнои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форме) входит в Na+ -каналы при их открытии, вызывая инактивацию большего числа этих каналов.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Химическая структура местных анестетиков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Местные анестетики состоят из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липофильнои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(часто ароматическое кольцо) 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гидрофильнои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частеи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(обычно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вторичныи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или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третичныи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амин), соединенных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эфирнои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или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амиднои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связью: По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химическои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структуре местные анестетики подразделяются на замещенные анилиды (амиды) и сложные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эфиры.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Эффекты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spellStart"/>
      <w:r w:rsidRPr="00005C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1) </w:t>
      </w:r>
      <w:r w:rsidRPr="00005C8E">
        <w:rPr>
          <w:rFonts w:ascii="Times New Roman,Italic" w:eastAsia="Times New Roman" w:hAnsi="Times New Roman,Italic" w:cs="Times New Roman"/>
          <w:kern w:val="0"/>
          <w:sz w:val="28"/>
          <w:szCs w:val="28"/>
          <w:lang w:eastAsia="ru-RU"/>
          <w14:ligatures w14:val="none"/>
        </w:rPr>
        <w:t xml:space="preserve">местным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включает блокаду нервных волокон, а также прямое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местных анестетиков может быть: на гладкую мускулатуру сосудов; 2) </w:t>
      </w:r>
      <w:r w:rsidRPr="00005C8E">
        <w:rPr>
          <w:rFonts w:ascii="Times New Roman,Italic" w:eastAsia="Times New Roman" w:hAnsi="Times New Roman,Italic" w:cs="Times New Roman"/>
          <w:kern w:val="0"/>
          <w:sz w:val="28"/>
          <w:szCs w:val="28"/>
          <w:lang w:eastAsia="ru-RU"/>
          <w14:ligatures w14:val="none"/>
        </w:rPr>
        <w:t xml:space="preserve">региональным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заключается в потере чувствительности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тканеи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болевои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температурнои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осязательнои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и др.) и изменении тонуса сосудов, находящихся в зоне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блокированного нерва; 3)</w:t>
      </w:r>
      <w:r w:rsidRPr="00005C8E">
        <w:rPr>
          <w:rFonts w:ascii="Times New Roman,Italic" w:eastAsia="Times New Roman" w:hAnsi="Times New Roman,Italic" w:cs="Times New Roman"/>
          <w:kern w:val="0"/>
          <w:sz w:val="28"/>
          <w:szCs w:val="28"/>
          <w:lang w:eastAsia="ru-RU"/>
          <w14:ligatures w14:val="none"/>
        </w:rPr>
        <w:t>общим (резорбтивным)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возникает вследствие всасывания вещества в кровь или его внутривенного введения. Местные анестетики могут оказывать влияние на сердце. В высоких дозах местные анестетики могут оказывать кардиотоксическое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Влияние разных местных анестетиков на гладкую мускулатуру сосудов различно. Кокаин суживает сосуды, так как оказывает симпатомиметическое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угнетая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обратныи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нейрональныи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захват норадреналина, тогда как новокаин расширяет сосуды. Большинство амидов в малых концентрациях сосуды суживают, а в более высоких - расширяют. Препараты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̆ группы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прилокаин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лигнокаин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бупивакаин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 в терапевтических дозах на месте применения обычно суживают сосуды, тогда как их региональными эффектами является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вазодилятация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возникающая вследствие блокады симпатических нервов. Продолжительность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Сила и продолжительность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местных анестетиков в основном зависит от степени их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липофильности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так как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липофильные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соединения легко проникают в клетку. Увеличению продолжительности анестезирующего эффекта также способствует сужение сосудов, так как при этом замедляется всасывание анестетиков в кровь. Сужение сосудов достигается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путём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добавления к растворам местных анестетиков сосудосуживающих средств - таких, как адреналин, норадреналин или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фелипрессин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вазоактивныи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пептид). Сосудосуживающие средства нельзя использовать для усиления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местных анестетиков при обезболивании пальцев рук и ног, так как они могут вызвать продолжительную ишемию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тканеи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и развитие гангрены.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Замещённые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анилиды подвергаются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дезалкилированию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печени, а эфиры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парааминобензойнои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кислоты гидролизуются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псевдохолинэстеразои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плазмы крови. Скорость метаболизма местных анестетиков практически не влияет на продолжительность их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тканях.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Основные виды </w:t>
      </w:r>
      <w:proofErr w:type="spellStart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местнои</w:t>
      </w:r>
      <w:proofErr w:type="spellEnd"/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̆ анестезии Поверхностная анестезия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анестетик наносят на раневую поверхность или слизистые оболочки. </w:t>
      </w: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Инфильтрационная анестезия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раствором анестетика последовательно пропитывают кожу и более глубокие ткани. Для этого вида анестезии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местные анестетики обычно используют в сочетании с сосудосуживающими веществами.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>Проводниковая анестезия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анестетик вводят по ходу нерва. Существуют различные разновидности этого вида анестезии - от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внутрипульпарнои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до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эпидуральнои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(анестетик вводят в пространство над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твердои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оболочкои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спинного мозга) и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спинномозговои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(анестетик вводят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субарахноидально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). Спинномозговую анестезию технически выполнить значительно легче, чем эпидуральную, но зато после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эпидуральнои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анестезии отсутствует такое осложнение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спинномозговои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анестезии, как </w:t>
      </w:r>
      <w:r w:rsidRPr="00005C8E">
        <w:rPr>
          <w:rFonts w:ascii="Times New Roman" w:eastAsia="Times New Roman" w:hAnsi="Times New Roman" w:cs="Times New Roman"/>
          <w:color w:val="0000FF"/>
          <w:kern w:val="0"/>
          <w:sz w:val="28"/>
          <w:szCs w:val="28"/>
          <w:lang w:eastAsia="ru-RU"/>
          <w14:ligatures w14:val="none"/>
        </w:rPr>
        <w:t>головная боль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Внутривенная региональная анестезия </w:t>
      </w: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Анестетик вводится внутривенно в обескровленную ветвь сосуда.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Наложенныи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на конечность жгут не позволяет лекарству поступить в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системныи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̆ кровоток. </w:t>
      </w: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Default="00005C8E" w:rsidP="00005C8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</w:pPr>
    </w:p>
    <w:p w:rsidR="00005C8E" w:rsidRPr="00005C8E" w:rsidRDefault="00005C8E" w:rsidP="00005C8E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05C8E">
        <w:rPr>
          <w:rFonts w:ascii="Times New Roman,Bold" w:eastAsia="Times New Roman" w:hAnsi="Times New Roman,Bold" w:cs="Times New Roman"/>
          <w:kern w:val="0"/>
          <w:sz w:val="28"/>
          <w:szCs w:val="28"/>
          <w:lang w:eastAsia="ru-RU"/>
          <w14:ligatures w14:val="none"/>
        </w:rPr>
        <w:t xml:space="preserve">Список литературы: </w:t>
      </w:r>
    </w:p>
    <w:p w:rsidR="00005C8E" w:rsidRPr="00005C8E" w:rsidRDefault="00005C8E" w:rsidP="00005C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Иванов В.С., Прянишникова Н. Т., Демина Л. М. О механизме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действия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местных анестетиков// Регионарная анестезия и </w:t>
      </w:r>
      <w:proofErr w:type="gram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аналгезия.—</w:t>
      </w:r>
      <w:proofErr w:type="gram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М., 1987.— С. 9— 14. </w:t>
      </w:r>
    </w:p>
    <w:p w:rsidR="00005C8E" w:rsidRPr="00005C8E" w:rsidRDefault="00005C8E" w:rsidP="00005C8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Кузин М.И., </w:t>
      </w:r>
      <w:proofErr w:type="spell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Харнас</w:t>
      </w:r>
      <w:proofErr w:type="spell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 Ш. Местное </w:t>
      </w:r>
      <w:proofErr w:type="gramStart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обезболивание.—</w:t>
      </w:r>
      <w:proofErr w:type="gramEnd"/>
      <w:r w:rsidRPr="00005C8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М.: Медицина, 1982. </w:t>
      </w:r>
    </w:p>
    <w:p w:rsidR="00005C8E" w:rsidRDefault="00005C8E"/>
    <w:sectPr w:rsidR="00005C8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70A" w:rsidRDefault="00A9170A" w:rsidP="00005C8E">
      <w:r>
        <w:separator/>
      </w:r>
    </w:p>
  </w:endnote>
  <w:endnote w:type="continuationSeparator" w:id="0">
    <w:p w:rsidR="00A9170A" w:rsidRDefault="00A9170A" w:rsidP="0000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623643763"/>
      <w:docPartObj>
        <w:docPartGallery w:val="Page Numbers (Bottom of Page)"/>
        <w:docPartUnique/>
      </w:docPartObj>
    </w:sdtPr>
    <w:sdtContent>
      <w:p w:rsidR="00005C8E" w:rsidRDefault="00005C8E" w:rsidP="0047283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05C8E" w:rsidRDefault="00005C8E" w:rsidP="00005C8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853530070"/>
      <w:docPartObj>
        <w:docPartGallery w:val="Page Numbers (Bottom of Page)"/>
        <w:docPartUnique/>
      </w:docPartObj>
    </w:sdtPr>
    <w:sdtContent>
      <w:p w:rsidR="00005C8E" w:rsidRDefault="00005C8E" w:rsidP="0047283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005C8E" w:rsidRDefault="00005C8E" w:rsidP="00005C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70A" w:rsidRDefault="00A9170A" w:rsidP="00005C8E">
      <w:r>
        <w:separator/>
      </w:r>
    </w:p>
  </w:footnote>
  <w:footnote w:type="continuationSeparator" w:id="0">
    <w:p w:rsidR="00A9170A" w:rsidRDefault="00A9170A" w:rsidP="00005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0764"/>
    <w:multiLevelType w:val="multilevel"/>
    <w:tmpl w:val="906E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153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8E"/>
    <w:rsid w:val="00005C8E"/>
    <w:rsid w:val="00A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F33AB6"/>
  <w15:chartTrackingRefBased/>
  <w15:docId w15:val="{D20754AB-5693-B24D-9CE3-128CBFD8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C8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005C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05C8E"/>
  </w:style>
  <w:style w:type="character" w:styleId="a6">
    <w:name w:val="page number"/>
    <w:basedOn w:val="a0"/>
    <w:uiPriority w:val="99"/>
    <w:semiHidden/>
    <w:unhideWhenUsed/>
    <w:rsid w:val="000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sevinj5@mail.ru</dc:creator>
  <cp:keywords/>
  <dc:description/>
  <cp:lastModifiedBy>sevinj5@mail.ru</cp:lastModifiedBy>
  <cp:revision>1</cp:revision>
  <dcterms:created xsi:type="dcterms:W3CDTF">2024-02-14T10:44:00Z</dcterms:created>
  <dcterms:modified xsi:type="dcterms:W3CDTF">2024-02-14T10:53:00Z</dcterms:modified>
</cp:coreProperties>
</file>