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64" w:rsidRDefault="000439FA">
      <w:r>
        <w:t xml:space="preserve">Занятие 2 </w:t>
      </w:r>
    </w:p>
    <w:p w:rsidR="00B77580" w:rsidRPr="00104013" w:rsidRDefault="00B77580">
      <w:pPr>
        <w:rPr>
          <w:rFonts w:ascii="Times New Roman" w:hAnsi="Times New Roman" w:cs="Times New Roman"/>
        </w:rPr>
      </w:pPr>
      <w:r w:rsidRPr="00104013">
        <w:rPr>
          <w:rFonts w:ascii="Times New Roman" w:hAnsi="Times New Roman" w:cs="Times New Roman"/>
        </w:rPr>
        <w:t>Задание №1</w:t>
      </w:r>
    </w:p>
    <w:p w:rsidR="00B77580" w:rsidRPr="00B77580" w:rsidRDefault="00B77580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1. ПРИ РЕАКТИВНЫХ АРТРИТАХ НАБЛЮДАЕТСЯ: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Гипохромная анемия;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Лейкоцитоз;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3) С-реактивный протеин положительный;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4) Выявление HLA-В 27 антигена;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Нормальные цифры СОЭ;</w:t>
      </w:r>
    </w:p>
    <w:p w:rsidR="00B77580" w:rsidRPr="00B77580" w:rsidRDefault="00B77580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2. КАКИЕ ПРИЗНАКИ ХАРАКТЕРНЫ ДЛЯ РЕАКТИВНОГО АРТРИТА: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Связь артрита с инфекцией мочеполового тракта;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Заболевание развивается в пожилом возрасте;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3) Поражаются дистальные межфаланговые суставы костей;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4) Развивается двусторонний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сакроилеит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Связь артрита с приемом диуретиков;</w:t>
      </w:r>
    </w:p>
    <w:p w:rsidR="00B77580" w:rsidRPr="00B77580" w:rsidRDefault="00B77580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3. КАКОЙ ИЗ ПРИЗНАКОВ НАИБОЛЕЕ ХАРАКТЕРЕН ДЛЯ АРТРИТА В ОТЛИЧИЕ ОТ ОСТЕОАРТРОЗА: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Боли при движении;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Хруст в суставе;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3) Костные разрастания;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4) Припухлость и повышение кожной температуры над суставом;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Ограничение подвижности;</w:t>
      </w:r>
    </w:p>
    <w:p w:rsidR="00B77580" w:rsidRPr="00B77580" w:rsidRDefault="00B77580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4. КАКОЙ ПРИЗНАК ПАТОГНОМОНИЧЕН ДЛЯ АНКИЛОЗИРУЮЩЕГО СПОНДИЛОАРТРИТА: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Ограничение подвижности позвоночника;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Напряжение прямых мышц спины;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3) Двухсторонний эрозивный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сакроилеит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4) Сглаженность изгибов позвоночника при рентгеноскопии;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Утренняя скованности позвоночника;</w:t>
      </w:r>
    </w:p>
    <w:p w:rsidR="00B77580" w:rsidRPr="00B77580" w:rsidRDefault="00B77580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5. ДЛЯ АНКИЛОЗИРУЮЩЕГО СПОНДИЛОАРТРИТА ХАРАКТЕРНО: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Женский пол;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Поражение грудино-ключичных и грудино-реберных сочленений;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3) Положительный АЦЦП;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4) Ограничение подвижности позвоночника;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Ревматоидные узелки;</w:t>
      </w:r>
    </w:p>
    <w:p w:rsidR="00B77580" w:rsidRPr="00B77580" w:rsidRDefault="00B77580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6. КАКИЕ ИЗ ПЕРЕЧИСЛЕННЫХ ПРИЗНАКОВ РЕДКО ВСТРЕЧАЮТСЯ ПРИ АНКИЛОЗИРУЮЩЕМ </w:t>
      </w:r>
      <w:proofErr w:type="gram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СПОНДИЛИТЕ?:</w:t>
      </w:r>
      <w:proofErr w:type="gramEnd"/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Увеличение СОЭ;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HLA-В 27;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3)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Сакроилеит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4)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Энтезопатии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Ревматоидный фактор;</w:t>
      </w:r>
    </w:p>
    <w:p w:rsidR="00B77580" w:rsidRPr="00B77580" w:rsidRDefault="00104013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104013">
        <w:rPr>
          <w:rFonts w:ascii="Times New Roman" w:eastAsia="Times New Roman" w:hAnsi="Times New Roman" w:cs="Times New Roman"/>
          <w:color w:val="363636"/>
          <w:lang w:eastAsia="ru-RU"/>
        </w:rPr>
        <w:t>7</w:t>
      </w:r>
      <w:r w:rsidR="00B77580" w:rsidRPr="00B77580">
        <w:rPr>
          <w:rFonts w:ascii="Times New Roman" w:eastAsia="Times New Roman" w:hAnsi="Times New Roman" w:cs="Times New Roman"/>
          <w:color w:val="363636"/>
          <w:lang w:eastAsia="ru-RU"/>
        </w:rPr>
        <w:t>. СПЕЦИФИЧЕСКИМ ПРОЯВЛЕНИЕМ ПСОРИАТИЧЕСКОГО АРТРИТА ЯВЛЯЕТСЯ: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Симметричный полиартрит;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Преимущественное поражение дистальных межфаланговых суставов;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3)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Мутилирующий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 артрит;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4)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Анкилозирующий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 артрит;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5) Узелки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Гибердена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;</w:t>
      </w:r>
    </w:p>
    <w:p w:rsidR="00B77580" w:rsidRPr="00B77580" w:rsidRDefault="00104013" w:rsidP="00B77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104013">
        <w:rPr>
          <w:rFonts w:ascii="Times New Roman" w:eastAsia="Times New Roman" w:hAnsi="Times New Roman" w:cs="Times New Roman"/>
          <w:color w:val="363636"/>
          <w:lang w:eastAsia="ru-RU"/>
        </w:rPr>
        <w:t>8</w:t>
      </w:r>
      <w:r w:rsidR="00B77580" w:rsidRPr="00B77580">
        <w:rPr>
          <w:rFonts w:ascii="Times New Roman" w:eastAsia="Times New Roman" w:hAnsi="Times New Roman" w:cs="Times New Roman"/>
          <w:color w:val="363636"/>
          <w:lang w:eastAsia="ru-RU"/>
        </w:rPr>
        <w:t>. РЕАКТИВНЫЙ АРТРИТ ОТНОСИТСЯ К ГРУППЕ: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1) Метаболических артритов;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2) Дегенеративных артритов;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3) </w:t>
      </w:r>
      <w:proofErr w:type="spellStart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Серонегативных</w:t>
      </w:r>
      <w:proofErr w:type="spellEnd"/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 xml:space="preserve"> артритов;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4) Диффузных заболеваний соединительной ткани;</w:t>
      </w:r>
    </w:p>
    <w:p w:rsidR="00B77580" w:rsidRPr="00B77580" w:rsidRDefault="00B77580" w:rsidP="00B7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B77580">
        <w:rPr>
          <w:rFonts w:ascii="Times New Roman" w:eastAsia="Times New Roman" w:hAnsi="Times New Roman" w:cs="Times New Roman"/>
          <w:color w:val="363636"/>
          <w:lang w:eastAsia="ru-RU"/>
        </w:rPr>
        <w:t>5) Ревматического артрита</w:t>
      </w:r>
    </w:p>
    <w:p w:rsidR="00B77580" w:rsidRPr="00104013" w:rsidRDefault="00B77580">
      <w:pPr>
        <w:rPr>
          <w:rFonts w:ascii="Times New Roman" w:hAnsi="Times New Roman" w:cs="Times New Roman"/>
        </w:rPr>
      </w:pPr>
    </w:p>
    <w:p w:rsidR="00B77580" w:rsidRPr="00104013" w:rsidRDefault="00B77580">
      <w:pPr>
        <w:rPr>
          <w:rFonts w:ascii="Times New Roman" w:hAnsi="Times New Roman" w:cs="Times New Roman"/>
        </w:rPr>
      </w:pPr>
      <w:r w:rsidRPr="00104013">
        <w:rPr>
          <w:rFonts w:ascii="Times New Roman" w:hAnsi="Times New Roman" w:cs="Times New Roman"/>
        </w:rPr>
        <w:t>Задание №2</w:t>
      </w:r>
    </w:p>
    <w:p w:rsidR="00B77580" w:rsidRPr="00104013" w:rsidRDefault="00B77580">
      <w:pPr>
        <w:rPr>
          <w:rFonts w:ascii="Times New Roman" w:hAnsi="Times New Roman" w:cs="Times New Roman"/>
        </w:rPr>
      </w:pPr>
      <w:r w:rsidRPr="00104013">
        <w:rPr>
          <w:rFonts w:ascii="Times New Roman" w:hAnsi="Times New Roman" w:cs="Times New Roman"/>
        </w:rPr>
        <w:lastRenderedPageBreak/>
        <w:t>Дать развернутые ответы на вопросы</w:t>
      </w:r>
      <w:r w:rsidR="00EB3F6A" w:rsidRPr="00104013">
        <w:rPr>
          <w:rFonts w:ascii="Times New Roman" w:hAnsi="Times New Roman" w:cs="Times New Roman"/>
        </w:rPr>
        <w:t>:</w:t>
      </w:r>
    </w:p>
    <w:p w:rsidR="000439FA" w:rsidRPr="00104013" w:rsidRDefault="00B77580" w:rsidP="00B77580">
      <w:pPr>
        <w:spacing w:before="2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1 Дать характеристику боли в суставах воспалительного и механического характера</w:t>
      </w:r>
      <w:r w:rsidR="00EB3F6A"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Какие боли характерны для </w:t>
      </w:r>
      <w:proofErr w:type="spellStart"/>
      <w:r w:rsidR="00EB3F6A"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серонегативных</w:t>
      </w:r>
      <w:proofErr w:type="spellEnd"/>
      <w:r w:rsidR="00EB3F6A"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артритов?</w:t>
      </w:r>
    </w:p>
    <w:p w:rsidR="00EB3F6A" w:rsidRPr="00104013" w:rsidRDefault="00EB3F6A" w:rsidP="00B77580">
      <w:pPr>
        <w:spacing w:before="2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2. Назвать </w:t>
      </w:r>
      <w:proofErr w:type="spellStart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рентгенпризнаки</w:t>
      </w:r>
      <w:proofErr w:type="spellEnd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анкилозирующего</w:t>
      </w:r>
      <w:proofErr w:type="spellEnd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спондилоартрита.</w:t>
      </w:r>
    </w:p>
    <w:p w:rsidR="00EB3F6A" w:rsidRPr="00104013" w:rsidRDefault="00EB3F6A" w:rsidP="00B77580">
      <w:pPr>
        <w:spacing w:before="2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3. Диагностические критерии </w:t>
      </w:r>
      <w:proofErr w:type="spellStart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псориатической</w:t>
      </w:r>
      <w:proofErr w:type="spellEnd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артропатии</w:t>
      </w:r>
      <w:proofErr w:type="spellEnd"/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B3F6A" w:rsidRPr="00104013" w:rsidRDefault="00EB3F6A" w:rsidP="00B77580">
      <w:pPr>
        <w:spacing w:before="2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4. Особенности поражения суставов при реактивных артритах. Причины (этиология) реактивных артритов.</w:t>
      </w:r>
    </w:p>
    <w:p w:rsidR="00EB3F6A" w:rsidRPr="00104013" w:rsidRDefault="00EB3F6A" w:rsidP="00B77580">
      <w:pPr>
        <w:spacing w:before="2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Задание №3</w:t>
      </w:r>
    </w:p>
    <w:p w:rsidR="00EB3F6A" w:rsidRPr="00104013" w:rsidRDefault="00EB3F6A" w:rsidP="00B77580">
      <w:pPr>
        <w:spacing w:before="24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04013">
        <w:rPr>
          <w:rFonts w:ascii="Times New Roman" w:hAnsi="Times New Roman" w:cs="Times New Roman"/>
          <w:color w:val="000000" w:themeColor="text1"/>
          <w:shd w:val="clear" w:color="auto" w:fill="FFFFFF"/>
        </w:rPr>
        <w:t>Дать развернутые ответы на вопросы.</w:t>
      </w:r>
    </w:p>
    <w:p w:rsidR="00104013" w:rsidRPr="00104013" w:rsidRDefault="00104013" w:rsidP="00104013">
      <w:pPr>
        <w:suppressAutoHyphens/>
        <w:spacing w:line="271" w:lineRule="auto"/>
        <w:ind w:left="260" w:firstLine="708"/>
        <w:jc w:val="both"/>
        <w:rPr>
          <w:rFonts w:ascii="Times New Roman" w:eastAsia="Times New Roman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 xml:space="preserve">Больной А. 46 лет обратился к врачу-терапевту участковому с жалобами на слабость, боли по всему позвоночнику (преимущественно ночью), в обоих тазобедренных, коленных суставах, утреннюю скованность до 40 минут, проходящую после физических упражнений. </w:t>
      </w:r>
    </w:p>
    <w:p w:rsidR="00104013" w:rsidRPr="00104013" w:rsidRDefault="00104013" w:rsidP="00104013">
      <w:pPr>
        <w:suppressAutoHyphens/>
        <w:spacing w:line="271" w:lineRule="auto"/>
        <w:ind w:left="260" w:firstLine="708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Анамнез: болеет с28 лет, вначале появились боли в пояснице и крестце (особенно ночью), позже присоединилась утренняя скованность, проходящая после непродолжительной зарядки, повышение температуры до 37-37,5°С.</w:t>
      </w:r>
    </w:p>
    <w:p w:rsidR="00104013" w:rsidRPr="00104013" w:rsidRDefault="00104013" w:rsidP="00104013">
      <w:pPr>
        <w:suppressAutoHyphens/>
        <w:spacing w:line="271" w:lineRule="auto"/>
        <w:ind w:left="260" w:firstLine="708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 xml:space="preserve">Объективно: состояние удовлетворительное, положение активное. АД - 150/100 мм рт. ст. ЧСС - 74 удара в минуту. ЧДД - 18 в минуту. Температура тела 37,3°С. Отмечается выраженный грудной кифоз и шейный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гиперлордоз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>, сглаженность поясничного лордоза, болезненность при пальпации по ходу позвоночника, околопозвоночным линиям и тазобедренных суставов. Активные и пассивные движения вызывают боль.</w:t>
      </w:r>
    </w:p>
    <w:p w:rsidR="00104013" w:rsidRPr="00104013" w:rsidRDefault="00104013" w:rsidP="00104013">
      <w:pPr>
        <w:suppressAutoHyphens/>
        <w:spacing w:line="271" w:lineRule="auto"/>
        <w:ind w:left="260" w:firstLine="708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 xml:space="preserve">Пробы: симптом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Кушелевского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I, II - положительный, проба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Томайера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– 65 см,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Форестье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- 22 см, проба подбородок-грудина – 5 см, экскурсия грудной клетки - 100-96 см (4 см).</w:t>
      </w:r>
    </w:p>
    <w:p w:rsidR="00104013" w:rsidRPr="00104013" w:rsidRDefault="00104013" w:rsidP="00104013">
      <w:pPr>
        <w:suppressAutoHyphens/>
        <w:ind w:left="260" w:firstLine="708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 xml:space="preserve">Рентгенограмма позвоночника и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илеосакральных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сочленениях: Деформирующий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спондилѐз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, двусторонний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сакроилиит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>, стадия 3.</w:t>
      </w:r>
    </w:p>
    <w:p w:rsidR="00104013" w:rsidRPr="00104013" w:rsidRDefault="00104013" w:rsidP="00104013">
      <w:pPr>
        <w:suppressAutoHyphens/>
        <w:spacing w:line="218" w:lineRule="auto"/>
        <w:ind w:left="260" w:firstLine="708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Общий анализ крови: эритроциты - 4,2×10</w:t>
      </w:r>
      <w:r w:rsidRPr="00104013">
        <w:rPr>
          <w:rFonts w:ascii="Times New Roman" w:eastAsia="Times New Roman" w:hAnsi="Times New Roman" w:cs="Times New Roman"/>
          <w:kern w:val="1"/>
          <w:vertAlign w:val="superscript"/>
        </w:rPr>
        <w:t>12</w:t>
      </w:r>
      <w:r w:rsidRPr="00104013">
        <w:rPr>
          <w:rFonts w:ascii="Times New Roman" w:eastAsia="Times New Roman" w:hAnsi="Times New Roman" w:cs="Times New Roman"/>
          <w:kern w:val="1"/>
        </w:rPr>
        <w:t xml:space="preserve">/л,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Hb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- 122 г/л, тромбоциты - 220×10</w:t>
      </w:r>
      <w:r w:rsidRPr="00104013">
        <w:rPr>
          <w:rFonts w:ascii="Times New Roman" w:eastAsia="Times New Roman" w:hAnsi="Times New Roman" w:cs="Times New Roman"/>
          <w:kern w:val="1"/>
          <w:vertAlign w:val="superscript"/>
        </w:rPr>
        <w:t>9</w:t>
      </w:r>
      <w:r w:rsidRPr="00104013">
        <w:rPr>
          <w:rFonts w:ascii="Times New Roman" w:eastAsia="Times New Roman" w:hAnsi="Times New Roman" w:cs="Times New Roman"/>
          <w:kern w:val="1"/>
        </w:rPr>
        <w:t>/л, лейкоциты - 10×10</w:t>
      </w:r>
      <w:r w:rsidRPr="00104013">
        <w:rPr>
          <w:rFonts w:ascii="Times New Roman" w:eastAsia="Times New Roman" w:hAnsi="Times New Roman" w:cs="Times New Roman"/>
          <w:kern w:val="1"/>
          <w:vertAlign w:val="superscript"/>
        </w:rPr>
        <w:t>9</w:t>
      </w:r>
      <w:r w:rsidRPr="00104013">
        <w:rPr>
          <w:rFonts w:ascii="Times New Roman" w:eastAsia="Times New Roman" w:hAnsi="Times New Roman" w:cs="Times New Roman"/>
          <w:kern w:val="1"/>
        </w:rPr>
        <w:t xml:space="preserve">/л,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палочкоядерные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нейтрофилы – 1%, сегментоядерные нейтрофилы – 63%, моноциты – 4%, эозинофилы – 2%, лимфоциты – 30%, СОЭ – 18 мм/ч.</w:t>
      </w:r>
    </w:p>
    <w:p w:rsidR="00104013" w:rsidRPr="00104013" w:rsidRDefault="00104013" w:rsidP="00104013">
      <w:pPr>
        <w:suppressAutoHyphens/>
        <w:spacing w:line="264" w:lineRule="auto"/>
        <w:ind w:left="260" w:firstLine="708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Иммунологические тесты: С-реактивный белок – 5 мг/л, ревматоидный фактор – отрицательный.</w:t>
      </w:r>
      <w:r>
        <w:rPr>
          <w:rFonts w:ascii="Times New Roman" w:eastAsia="Times New Roman" w:hAnsi="Times New Roman" w:cs="Times New Roman"/>
          <w:kern w:val="1"/>
        </w:rPr>
        <w:t xml:space="preserve"> </w:t>
      </w:r>
      <w:r w:rsidRPr="00104013">
        <w:rPr>
          <w:rFonts w:ascii="Times New Roman" w:eastAsia="Times New Roman" w:hAnsi="Times New Roman" w:cs="Times New Roman"/>
          <w:kern w:val="1"/>
        </w:rPr>
        <w:t>Общий анализ мочи – норма.</w:t>
      </w:r>
    </w:p>
    <w:p w:rsidR="00104013" w:rsidRPr="00104013" w:rsidRDefault="00104013" w:rsidP="00104013">
      <w:pPr>
        <w:suppressAutoHyphens/>
        <w:ind w:left="260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b/>
          <w:bCs/>
          <w:kern w:val="1"/>
        </w:rPr>
        <w:t>Вопросы:</w:t>
      </w:r>
    </w:p>
    <w:p w:rsidR="00104013" w:rsidRPr="00104013" w:rsidRDefault="00104013" w:rsidP="00104013">
      <w:pPr>
        <w:numPr>
          <w:ilvl w:val="0"/>
          <w:numId w:val="1"/>
        </w:numPr>
        <w:tabs>
          <w:tab w:val="left" w:pos="1000"/>
        </w:tabs>
        <w:suppressAutoHyphens/>
        <w:spacing w:after="0" w:line="240" w:lineRule="auto"/>
        <w:ind w:left="1000" w:hanging="239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font404" w:hAnsi="Times New Roman" w:cs="Times New Roman"/>
          <w:kern w:val="1"/>
        </w:rPr>
        <w:t xml:space="preserve">Выделите синдромы. </w:t>
      </w:r>
    </w:p>
    <w:p w:rsidR="00104013" w:rsidRPr="00104013" w:rsidRDefault="00104013" w:rsidP="00104013">
      <w:pPr>
        <w:numPr>
          <w:ilvl w:val="0"/>
          <w:numId w:val="1"/>
        </w:numPr>
        <w:tabs>
          <w:tab w:val="left" w:pos="1000"/>
        </w:tabs>
        <w:suppressAutoHyphens/>
        <w:spacing w:after="0" w:line="240" w:lineRule="auto"/>
        <w:ind w:left="1000" w:hanging="239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Сформулируйте предварительный диагноз. Обоснуйте поставленный Вами диагноз.</w:t>
      </w:r>
    </w:p>
    <w:p w:rsidR="00104013" w:rsidRPr="00104013" w:rsidRDefault="00104013" w:rsidP="00104013">
      <w:pPr>
        <w:numPr>
          <w:ilvl w:val="0"/>
          <w:numId w:val="1"/>
        </w:numPr>
        <w:tabs>
          <w:tab w:val="left" w:pos="1000"/>
        </w:tabs>
        <w:suppressAutoHyphens/>
        <w:spacing w:after="0" w:line="240" w:lineRule="auto"/>
        <w:ind w:left="1000" w:hanging="239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Составьте и обоснуйте план дополнительного обследования пациента.</w:t>
      </w:r>
    </w:p>
    <w:p w:rsidR="00104013" w:rsidRPr="00104013" w:rsidRDefault="00104013" w:rsidP="00104013">
      <w:pPr>
        <w:numPr>
          <w:ilvl w:val="0"/>
          <w:numId w:val="1"/>
        </w:numPr>
        <w:tabs>
          <w:tab w:val="left" w:pos="1000"/>
        </w:tabs>
        <w:suppressAutoHyphens/>
        <w:spacing w:after="0" w:line="240" w:lineRule="auto"/>
        <w:ind w:left="1000" w:hanging="239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Какой будет Ваша тактика лечения данного заболевания?</w:t>
      </w:r>
      <w:r w:rsidRPr="00104013">
        <w:rPr>
          <w:rFonts w:ascii="Times New Roman" w:eastAsia="font404" w:hAnsi="Times New Roman" w:cs="Times New Roman"/>
          <w:kern w:val="1"/>
        </w:rPr>
        <w:t xml:space="preserve"> </w:t>
      </w:r>
      <w:r w:rsidRPr="00104013">
        <w:rPr>
          <w:rFonts w:ascii="Times New Roman" w:eastAsia="Times New Roman" w:hAnsi="Times New Roman" w:cs="Times New Roman"/>
          <w:kern w:val="1"/>
        </w:rPr>
        <w:t xml:space="preserve">Каким препаратам следует отдать предпочтение при наличии у пациента </w:t>
      </w:r>
      <w:proofErr w:type="spellStart"/>
      <w:r w:rsidRPr="00104013">
        <w:rPr>
          <w:rFonts w:ascii="Times New Roman" w:eastAsia="Times New Roman" w:hAnsi="Times New Roman" w:cs="Times New Roman"/>
          <w:kern w:val="1"/>
        </w:rPr>
        <w:t>внеаксиальных</w:t>
      </w:r>
      <w:proofErr w:type="spellEnd"/>
      <w:r w:rsidRPr="00104013">
        <w:rPr>
          <w:rFonts w:ascii="Times New Roman" w:eastAsia="Times New Roman" w:hAnsi="Times New Roman" w:cs="Times New Roman"/>
          <w:kern w:val="1"/>
        </w:rPr>
        <w:t xml:space="preserve"> проявлений заболевания?</w:t>
      </w:r>
    </w:p>
    <w:p w:rsidR="00104013" w:rsidRPr="00104013" w:rsidRDefault="00104013" w:rsidP="00104013">
      <w:pPr>
        <w:numPr>
          <w:ilvl w:val="0"/>
          <w:numId w:val="1"/>
        </w:numPr>
        <w:tabs>
          <w:tab w:val="left" w:pos="1000"/>
        </w:tabs>
        <w:suppressAutoHyphens/>
        <w:spacing w:after="0" w:line="240" w:lineRule="auto"/>
        <w:ind w:left="1000" w:hanging="239"/>
        <w:jc w:val="both"/>
        <w:rPr>
          <w:rFonts w:ascii="Times New Roman" w:eastAsia="font404" w:hAnsi="Times New Roman" w:cs="Times New Roman"/>
          <w:kern w:val="1"/>
        </w:rPr>
      </w:pPr>
      <w:r w:rsidRPr="00104013">
        <w:rPr>
          <w:rFonts w:ascii="Times New Roman" w:eastAsia="Times New Roman" w:hAnsi="Times New Roman" w:cs="Times New Roman"/>
          <w:kern w:val="1"/>
        </w:rPr>
        <w:t>Порекомендуйте немедикаментозное и медикаментозной лечение. Выпишите рецепты на назначенные препараты.</w:t>
      </w:r>
    </w:p>
    <w:p w:rsidR="005C1843" w:rsidRPr="005C1843" w:rsidRDefault="005C1843" w:rsidP="005C1843">
      <w:pPr>
        <w:pStyle w:val="a3"/>
        <w:numPr>
          <w:ilvl w:val="0"/>
          <w:numId w:val="1"/>
        </w:numPr>
        <w:suppressAutoHyphens/>
        <w:spacing w:line="200" w:lineRule="exact"/>
        <w:jc w:val="both"/>
        <w:rPr>
          <w:rFonts w:ascii="Times New Roman" w:eastAsia="font404" w:hAnsi="Times New Roman" w:cs="Times New Roman"/>
          <w:b/>
          <w:kern w:val="1"/>
          <w:sz w:val="24"/>
          <w:szCs w:val="24"/>
        </w:rPr>
      </w:pPr>
      <w:r w:rsidRPr="005C1843">
        <w:rPr>
          <w:rFonts w:ascii="Times New Roman" w:eastAsia="font404" w:hAnsi="Times New Roman" w:cs="Times New Roman"/>
          <w:b/>
          <w:kern w:val="1"/>
          <w:sz w:val="24"/>
          <w:szCs w:val="24"/>
        </w:rPr>
        <w:t>Ответы к задаче №132:</w:t>
      </w:r>
    </w:p>
    <w:p w:rsidR="005C1843" w:rsidRPr="005C1843" w:rsidRDefault="005C1843" w:rsidP="005C1843">
      <w:pPr>
        <w:pStyle w:val="a3"/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Анкилозирующий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спондилоартрит. Развёрнутая стадия. BASDAI 3,2. BASFI 3,0. Двухсторонний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сакроилиит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стадия 3. Функциональная недостаточность суставов I.</w:t>
      </w:r>
    </w:p>
    <w:p w:rsidR="005C1843" w:rsidRPr="005C1843" w:rsidRDefault="005C1843" w:rsidP="005C1843">
      <w:pPr>
        <w:pStyle w:val="a3"/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2. Диагноз «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анкилозирующий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спондилоартрит (АС)» поставлен на основании воспалительного характера боли в позвоночнике, изменения соответствующих клинических тестов (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Кушелевского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Томайера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Форестье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обнаружения на </w:t>
      </w: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рентгенограмме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илеосакральных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сочленений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сакроилиита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стадии. Развёрнутая стадия поставлена на основании длительности течения заболевания и отсутствия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анкилозирования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различных отделах позвоночника. Величина индексов BASDAI и BASFI на основании подсчёта соответствующих медицинских калькуляторов. Функциональная недостаточность суставов установлена на основании изменения физиологических изгибов позвоночника и ограничения подвижности позвоночника.</w:t>
      </w:r>
    </w:p>
    <w:p w:rsidR="005C1843" w:rsidRPr="005C1843" w:rsidRDefault="005C1843" w:rsidP="005C1843">
      <w:pPr>
        <w:spacing w:before="280" w:after="28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Пациенту рекомендовано рентгенологическое исследование и УЗИ тазобедренных суставов для определения наличия у пациента явлений коксита. Осмотр врача-офтальмолога для выявления проявления поражения глаз. Выполнение ЭКГ и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ЭхоКГ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аортита или других проявлений вовлечения сердца в патологический процесс. Определение HLA-B27, антител из главного комплекса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гистосовместимости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лейкоцитов человека к В27 антигену, которые указывают на генетическую природу заболевания.</w:t>
      </w:r>
    </w:p>
    <w:p w:rsidR="005C1843" w:rsidRPr="005C1843" w:rsidRDefault="005C1843" w:rsidP="005C1843">
      <w:pPr>
        <w:pStyle w:val="a3"/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Всем больным необходимо назначение НПВС и ЛФК. Приём НПВС должен быть постоянным и длительным. НПВС - базисные препараты для лечения АС (например, Диклофенак натрия 100 мг 2 раза в сутки или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Эторикоксиб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мг 1 раз в сутки).</w:t>
      </w:r>
    </w:p>
    <w:p w:rsidR="005C1843" w:rsidRPr="005C1843" w:rsidRDefault="005C1843" w:rsidP="005C1843">
      <w:pPr>
        <w:pStyle w:val="a3"/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эффекта от приёма НПВС - решение вопроса о назначении ингибиторов фактора некроза опухоли альфа (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Инфликсимаб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Адалимумаб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Голимумаб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C1843" w:rsidRPr="005C1843" w:rsidRDefault="005C1843" w:rsidP="005C1843">
      <w:pPr>
        <w:pStyle w:val="a3"/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 наличии у пациента явлений периферических артритов необходимо назначение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Сульфасалазина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его неэффективности решение вопроса о назначении генно-инженерных биологических препаратов из группы ингибиторов некроза опухоли альфа (ФНО альфа), поскольку </w:t>
      </w:r>
      <w:proofErr w:type="spellStart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Сульфасалазин</w:t>
      </w:r>
      <w:proofErr w:type="spellEnd"/>
      <w:r w:rsidRPr="005C1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ингибиторы ФНО альфа входят в национальные рекомендации по лечению АС как препараты, оказывающие патогенетическое действие.</w:t>
      </w:r>
    </w:p>
    <w:p w:rsidR="005C1843" w:rsidRPr="005C1843" w:rsidRDefault="005C1843" w:rsidP="005C1843">
      <w:pPr>
        <w:pStyle w:val="a3"/>
        <w:suppressAutoHyphens/>
        <w:spacing w:line="200" w:lineRule="exact"/>
        <w:jc w:val="both"/>
        <w:rPr>
          <w:rFonts w:ascii="Times New Roman" w:eastAsia="font404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104013" w:rsidRPr="00104013" w:rsidRDefault="00104013" w:rsidP="00B77580">
      <w:pPr>
        <w:spacing w:before="240"/>
        <w:rPr>
          <w:rFonts w:ascii="Times New Roman" w:hAnsi="Times New Roman" w:cs="Times New Roman"/>
          <w:color w:val="363636"/>
          <w:shd w:val="clear" w:color="auto" w:fill="FFFFFF"/>
        </w:rPr>
      </w:pPr>
    </w:p>
    <w:p w:rsidR="00EB3F6A" w:rsidRDefault="00EB3F6A" w:rsidP="00B77580">
      <w:pPr>
        <w:spacing w:before="240"/>
      </w:pPr>
    </w:p>
    <w:sectPr w:rsidR="00EB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04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7"/>
    <w:multiLevelType w:val="multilevel"/>
    <w:tmpl w:val="00000067"/>
    <w:name w:val="WW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FA"/>
    <w:rsid w:val="000439FA"/>
    <w:rsid w:val="00104013"/>
    <w:rsid w:val="00197764"/>
    <w:rsid w:val="005C1843"/>
    <w:rsid w:val="00B77580"/>
    <w:rsid w:val="00E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3E1D"/>
  <w15:chartTrackingRefBased/>
  <w15:docId w15:val="{F771F8BB-85D2-4DEF-9FE8-FA491179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55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0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6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8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2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6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3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1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5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4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1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5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3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21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4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5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0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0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8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2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2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2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2020-05-17T06:12:00Z</dcterms:created>
  <dcterms:modified xsi:type="dcterms:W3CDTF">2020-05-18T01:40:00Z</dcterms:modified>
</cp:coreProperties>
</file>