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2A" w:rsidRDefault="004B6F2A" w:rsidP="00942A0F">
      <w:pPr>
        <w:pStyle w:val="Standard"/>
        <w:jc w:val="center"/>
        <w:rPr>
          <w:color w:val="000000"/>
          <w:lang w:val="ru-RU"/>
        </w:rPr>
      </w:pPr>
      <w:r>
        <w:rPr>
          <w:noProof/>
          <w:color w:val="000000"/>
          <w:lang w:val="ru-RU" w:eastAsia="ru-RU" w:bidi="ar-SA"/>
        </w:rPr>
        <w:drawing>
          <wp:inline distT="0" distB="0" distL="0" distR="0">
            <wp:extent cx="5924550" cy="8391525"/>
            <wp:effectExtent l="19050" t="0" r="0" b="0"/>
            <wp:docPr id="1" name="Рисунок 1" descr="C:\Users\Ир\Desktop\рефераты\тромбо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Desktop\рефераты\тромбоц.jpg"/>
                    <pic:cNvPicPr>
                      <a:picLocks noChangeAspect="1" noChangeArrowheads="1"/>
                    </pic:cNvPicPr>
                  </pic:nvPicPr>
                  <pic:blipFill>
                    <a:blip r:embed="rId7"/>
                    <a:srcRect/>
                    <a:stretch>
                      <a:fillRect/>
                    </a:stretch>
                  </pic:blipFill>
                  <pic:spPr bwMode="auto">
                    <a:xfrm>
                      <a:off x="0" y="0"/>
                      <a:ext cx="5924550" cy="8391525"/>
                    </a:xfrm>
                    <a:prstGeom prst="rect">
                      <a:avLst/>
                    </a:prstGeom>
                    <a:noFill/>
                    <a:ln w="9525">
                      <a:noFill/>
                      <a:miter lim="800000"/>
                      <a:headEnd/>
                      <a:tailEnd/>
                    </a:ln>
                  </pic:spPr>
                </pic:pic>
              </a:graphicData>
            </a:graphic>
          </wp:inline>
        </w:drawing>
      </w:r>
    </w:p>
    <w:p w:rsidR="004B6F2A" w:rsidRDefault="004B6F2A" w:rsidP="00942A0F">
      <w:pPr>
        <w:pStyle w:val="Standard"/>
        <w:jc w:val="center"/>
        <w:rPr>
          <w:color w:val="000000"/>
          <w:lang w:val="ru-RU"/>
        </w:rPr>
      </w:pPr>
    </w:p>
    <w:p w:rsidR="004B6F2A" w:rsidRDefault="004B6F2A" w:rsidP="00942A0F">
      <w:pPr>
        <w:pStyle w:val="Standard"/>
        <w:jc w:val="center"/>
        <w:rPr>
          <w:color w:val="000000"/>
          <w:lang w:val="ru-RU"/>
        </w:rPr>
      </w:pPr>
    </w:p>
    <w:p w:rsidR="004B6F2A" w:rsidRDefault="004B6F2A" w:rsidP="00942A0F">
      <w:pPr>
        <w:pStyle w:val="Standard"/>
        <w:jc w:val="center"/>
        <w:rPr>
          <w:color w:val="000000"/>
          <w:lang w:val="ru-RU"/>
        </w:rPr>
      </w:pPr>
    </w:p>
    <w:p w:rsidR="004B6F2A" w:rsidRDefault="004B6F2A" w:rsidP="00942A0F">
      <w:pPr>
        <w:pStyle w:val="Standard"/>
        <w:jc w:val="center"/>
        <w:rPr>
          <w:color w:val="000000"/>
          <w:lang w:val="ru-RU"/>
        </w:rPr>
      </w:pPr>
    </w:p>
    <w:p w:rsidR="00942A0F" w:rsidRDefault="00942A0F" w:rsidP="00942A0F">
      <w:pPr>
        <w:pStyle w:val="Standard"/>
        <w:jc w:val="center"/>
        <w:rPr>
          <w:sz w:val="26"/>
          <w:szCs w:val="26"/>
          <w:lang w:val="ru-RU"/>
        </w:rPr>
      </w:pPr>
      <w:r>
        <w:rPr>
          <w:color w:val="000000"/>
          <w:lang w:val="ru-RU"/>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942A0F" w:rsidRDefault="00942A0F" w:rsidP="00942A0F">
      <w:pPr>
        <w:pStyle w:val="Standard"/>
        <w:jc w:val="center"/>
        <w:rPr>
          <w:sz w:val="26"/>
          <w:szCs w:val="26"/>
          <w:lang w:val="ru-RU"/>
        </w:rPr>
      </w:pPr>
    </w:p>
    <w:p w:rsidR="00942A0F" w:rsidRDefault="00942A0F" w:rsidP="00942A0F">
      <w:pPr>
        <w:pStyle w:val="Standard"/>
        <w:jc w:val="center"/>
        <w:rPr>
          <w:sz w:val="28"/>
          <w:szCs w:val="28"/>
        </w:rPr>
      </w:pPr>
      <w:r>
        <w:rPr>
          <w:sz w:val="28"/>
          <w:szCs w:val="28"/>
          <w:lang w:val="ru-RU"/>
        </w:rPr>
        <w:t>Кафедра педиатрии ИПО</w:t>
      </w:r>
    </w:p>
    <w:p w:rsidR="00942A0F" w:rsidRDefault="00942A0F" w:rsidP="00942A0F">
      <w:pPr>
        <w:pStyle w:val="Standard"/>
        <w:jc w:val="center"/>
        <w:rPr>
          <w:sz w:val="28"/>
          <w:szCs w:val="28"/>
        </w:rPr>
      </w:pP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r>
        <w:rPr>
          <w:sz w:val="28"/>
          <w:szCs w:val="28"/>
          <w:lang w:val="ru-RU"/>
        </w:rPr>
        <w:t>Зав.кафедрой: д.м.н. проф. ТаранушенкоТ.Е.</w:t>
      </w:r>
    </w:p>
    <w:p w:rsidR="00942A0F" w:rsidRDefault="00942A0F" w:rsidP="00942A0F">
      <w:pPr>
        <w:pStyle w:val="Standard"/>
        <w:jc w:val="right"/>
        <w:rPr>
          <w:sz w:val="28"/>
          <w:szCs w:val="28"/>
          <w:lang w:val="ru-RU"/>
        </w:rPr>
      </w:pPr>
      <w:r>
        <w:rPr>
          <w:sz w:val="28"/>
          <w:szCs w:val="28"/>
          <w:lang w:val="ru-RU"/>
        </w:rPr>
        <w:t>Проверил: д.м.н. Моргун А.В.</w:t>
      </w: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r>
        <w:rPr>
          <w:sz w:val="28"/>
          <w:szCs w:val="28"/>
          <w:lang w:val="ru-RU"/>
        </w:rPr>
        <w:t xml:space="preserve">Реферат </w:t>
      </w: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r>
        <w:rPr>
          <w:b/>
          <w:sz w:val="28"/>
          <w:szCs w:val="28"/>
          <w:lang w:val="ru-RU"/>
        </w:rPr>
        <w:t>Лечение тромбоцитопатий</w:t>
      </w: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r>
        <w:rPr>
          <w:sz w:val="28"/>
          <w:szCs w:val="28"/>
          <w:lang w:val="ru-RU"/>
        </w:rPr>
        <w:t>Выполнила:</w:t>
      </w:r>
    </w:p>
    <w:p w:rsidR="00942A0F" w:rsidRDefault="00942A0F" w:rsidP="00942A0F">
      <w:pPr>
        <w:pStyle w:val="Standard"/>
        <w:jc w:val="right"/>
        <w:rPr>
          <w:sz w:val="28"/>
          <w:szCs w:val="28"/>
          <w:lang w:val="ru-RU"/>
        </w:rPr>
      </w:pPr>
      <w:r>
        <w:rPr>
          <w:sz w:val="28"/>
          <w:szCs w:val="28"/>
          <w:lang w:val="ru-RU"/>
        </w:rPr>
        <w:t>врач-ординатор Рамоните И.В.</w:t>
      </w: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right"/>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p>
    <w:p w:rsidR="00942A0F" w:rsidRDefault="00942A0F" w:rsidP="00942A0F">
      <w:pPr>
        <w:pStyle w:val="Standard"/>
        <w:jc w:val="center"/>
        <w:rPr>
          <w:sz w:val="28"/>
          <w:szCs w:val="28"/>
          <w:lang w:val="ru-RU"/>
        </w:rPr>
      </w:pPr>
      <w:r>
        <w:rPr>
          <w:sz w:val="28"/>
          <w:szCs w:val="28"/>
          <w:lang w:val="ru-RU"/>
        </w:rPr>
        <w:t>Красноярск, 2020 г</w:t>
      </w:r>
    </w:p>
    <w:p w:rsidR="00274AA0" w:rsidRDefault="00274AA0" w:rsidP="00274AA0">
      <w:pPr>
        <w:pStyle w:val="Standard"/>
        <w:spacing w:line="360" w:lineRule="auto"/>
        <w:jc w:val="center"/>
        <w:rPr>
          <w:sz w:val="28"/>
          <w:szCs w:val="28"/>
          <w:lang w:val="ru-RU"/>
        </w:rPr>
      </w:pPr>
      <w:r>
        <w:rPr>
          <w:b/>
          <w:bCs/>
          <w:sz w:val="28"/>
          <w:szCs w:val="28"/>
          <w:lang w:val="ru-RU"/>
        </w:rPr>
        <w:lastRenderedPageBreak/>
        <w:t>Содержание</w:t>
      </w:r>
    </w:p>
    <w:p w:rsidR="00A56CA5" w:rsidRDefault="00274AA0" w:rsidP="00A56CA5">
      <w:pPr>
        <w:pStyle w:val="Standard"/>
        <w:numPr>
          <w:ilvl w:val="0"/>
          <w:numId w:val="1"/>
        </w:numPr>
        <w:spacing w:line="360" w:lineRule="auto"/>
        <w:textAlignment w:val="baseline"/>
        <w:rPr>
          <w:rFonts w:cs="Times New Roman"/>
          <w:sz w:val="28"/>
          <w:szCs w:val="28"/>
          <w:lang w:val="ru-RU"/>
        </w:rPr>
      </w:pPr>
      <w:r w:rsidRPr="00534E1E">
        <w:rPr>
          <w:rFonts w:cs="Times New Roman"/>
          <w:sz w:val="28"/>
          <w:szCs w:val="28"/>
          <w:lang w:val="ru-RU"/>
        </w:rPr>
        <w:t>Введение</w:t>
      </w:r>
    </w:p>
    <w:p w:rsidR="00A56CA5" w:rsidRPr="00A56CA5" w:rsidRDefault="00A56CA5" w:rsidP="00A56CA5">
      <w:pPr>
        <w:pStyle w:val="Standard"/>
        <w:numPr>
          <w:ilvl w:val="0"/>
          <w:numId w:val="1"/>
        </w:numPr>
        <w:spacing w:line="360" w:lineRule="auto"/>
        <w:textAlignment w:val="baseline"/>
        <w:rPr>
          <w:rFonts w:cs="Times New Roman"/>
          <w:sz w:val="28"/>
          <w:szCs w:val="28"/>
          <w:lang w:val="ru-RU"/>
        </w:rPr>
      </w:pPr>
      <w:r w:rsidRPr="00A56CA5">
        <w:rPr>
          <w:bCs/>
          <w:sz w:val="28"/>
          <w:szCs w:val="28"/>
        </w:rPr>
        <w:t>Терапия наследственных нарушений</w:t>
      </w:r>
    </w:p>
    <w:p w:rsidR="00A56CA5" w:rsidRPr="00A56CA5" w:rsidRDefault="00A56CA5" w:rsidP="00A56CA5">
      <w:pPr>
        <w:pStyle w:val="Standard"/>
        <w:numPr>
          <w:ilvl w:val="0"/>
          <w:numId w:val="1"/>
        </w:numPr>
        <w:spacing w:line="360" w:lineRule="auto"/>
        <w:textAlignment w:val="baseline"/>
        <w:rPr>
          <w:rFonts w:cs="Times New Roman"/>
          <w:sz w:val="28"/>
          <w:szCs w:val="28"/>
          <w:lang w:val="ru-RU"/>
        </w:rPr>
      </w:pPr>
      <w:r>
        <w:rPr>
          <w:rFonts w:cs="Times New Roman"/>
          <w:sz w:val="28"/>
          <w:szCs w:val="28"/>
          <w:lang w:val="ru-RU"/>
        </w:rPr>
        <w:t>Общее направление при лечении</w:t>
      </w:r>
    </w:p>
    <w:p w:rsidR="00274AA0" w:rsidRDefault="00A56CA5" w:rsidP="00274AA0">
      <w:pPr>
        <w:pStyle w:val="Standard"/>
        <w:numPr>
          <w:ilvl w:val="0"/>
          <w:numId w:val="1"/>
        </w:numPr>
        <w:spacing w:line="360" w:lineRule="auto"/>
        <w:textAlignment w:val="baseline"/>
        <w:rPr>
          <w:rFonts w:cs="Times New Roman"/>
          <w:sz w:val="28"/>
          <w:szCs w:val="28"/>
          <w:lang w:val="ru-RU"/>
        </w:rPr>
      </w:pPr>
      <w:r>
        <w:rPr>
          <w:rFonts w:cs="Times New Roman"/>
          <w:sz w:val="28"/>
          <w:szCs w:val="28"/>
          <w:lang w:val="ru-RU"/>
        </w:rPr>
        <w:t>Местное лечение</w:t>
      </w:r>
    </w:p>
    <w:p w:rsidR="00C0332E" w:rsidRDefault="00C0332E" w:rsidP="00C0332E">
      <w:pPr>
        <w:pStyle w:val="a4"/>
        <w:numPr>
          <w:ilvl w:val="0"/>
          <w:numId w:val="1"/>
        </w:numPr>
        <w:rPr>
          <w:rFonts w:ascii="Times New Roman" w:hAnsi="Times New Roman" w:cs="Times New Roman"/>
          <w:color w:val="000000" w:themeColor="text1"/>
          <w:sz w:val="28"/>
          <w:szCs w:val="28"/>
        </w:rPr>
      </w:pPr>
      <w:r w:rsidRPr="00C0332E">
        <w:rPr>
          <w:rFonts w:ascii="Times New Roman" w:hAnsi="Times New Roman" w:cs="Times New Roman"/>
          <w:color w:val="000000" w:themeColor="text1"/>
          <w:sz w:val="28"/>
          <w:szCs w:val="28"/>
        </w:rPr>
        <w:t>Системная антифибринолитическая терапия</w:t>
      </w:r>
    </w:p>
    <w:p w:rsidR="00BB160D" w:rsidRDefault="00BB160D" w:rsidP="00BB160D">
      <w:pPr>
        <w:pStyle w:val="a4"/>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Вывод</w:t>
      </w:r>
    </w:p>
    <w:p w:rsidR="00274AA0" w:rsidRPr="00BB160D" w:rsidRDefault="00274AA0" w:rsidP="00BB160D">
      <w:pPr>
        <w:pStyle w:val="a4"/>
        <w:numPr>
          <w:ilvl w:val="0"/>
          <w:numId w:val="1"/>
        </w:numPr>
        <w:rPr>
          <w:rFonts w:ascii="Times New Roman" w:hAnsi="Times New Roman" w:cs="Times New Roman"/>
          <w:color w:val="000000" w:themeColor="text1"/>
          <w:sz w:val="28"/>
          <w:szCs w:val="28"/>
        </w:rPr>
      </w:pPr>
      <w:r w:rsidRPr="00BB160D">
        <w:rPr>
          <w:rFonts w:ascii="Times New Roman" w:hAnsi="Times New Roman" w:cs="Times New Roman"/>
          <w:color w:val="000000" w:themeColor="text1"/>
          <w:sz w:val="28"/>
          <w:szCs w:val="28"/>
        </w:rPr>
        <w:t>Список литературы</w:t>
      </w:r>
    </w:p>
    <w:p w:rsidR="00274AA0" w:rsidRDefault="00274AA0" w:rsidP="00274AA0">
      <w:pPr>
        <w:pStyle w:val="Standard"/>
        <w:spacing w:line="360" w:lineRule="auto"/>
        <w:rPr>
          <w:sz w:val="28"/>
          <w:szCs w:val="28"/>
        </w:rPr>
      </w:pPr>
    </w:p>
    <w:p w:rsidR="00274AA0" w:rsidRDefault="00274AA0" w:rsidP="00274AA0">
      <w:pPr>
        <w:pStyle w:val="Standard"/>
        <w:spacing w:line="360" w:lineRule="auto"/>
        <w:rPr>
          <w:sz w:val="28"/>
          <w:szCs w:val="28"/>
        </w:rPr>
      </w:pPr>
    </w:p>
    <w:p w:rsidR="00274AA0" w:rsidRDefault="00274AA0" w:rsidP="00942A0F">
      <w:pPr>
        <w:pStyle w:val="Standard"/>
        <w:jc w:val="center"/>
        <w:rPr>
          <w:b/>
          <w:bCs/>
          <w:sz w:val="28"/>
          <w:szCs w:val="28"/>
          <w:lang w:val="ru-RU"/>
        </w:rPr>
      </w:pPr>
    </w:p>
    <w:p w:rsidR="00274AA0" w:rsidRDefault="00274AA0"/>
    <w:p w:rsidR="00274AA0" w:rsidRDefault="00274AA0">
      <w:r>
        <w:br w:type="page"/>
      </w:r>
    </w:p>
    <w:p w:rsidR="00A56CA5" w:rsidRDefault="00A56CA5" w:rsidP="00A56CA5">
      <w:pPr>
        <w:pStyle w:val="a3"/>
        <w:spacing w:before="150" w:beforeAutospacing="0" w:after="0" w:afterAutospacing="0"/>
        <w:ind w:firstLine="709"/>
        <w:textAlignment w:val="top"/>
        <w:rPr>
          <w:color w:val="000000" w:themeColor="text1"/>
          <w:sz w:val="28"/>
          <w:szCs w:val="28"/>
        </w:rPr>
      </w:pPr>
      <w:r>
        <w:rPr>
          <w:b/>
          <w:bCs/>
          <w:sz w:val="28"/>
          <w:szCs w:val="28"/>
        </w:rPr>
        <w:lastRenderedPageBreak/>
        <w:t>Введение</w:t>
      </w:r>
      <w:r w:rsidRPr="00A56CA5">
        <w:rPr>
          <w:color w:val="000000" w:themeColor="text1"/>
          <w:sz w:val="28"/>
          <w:szCs w:val="28"/>
        </w:rPr>
        <w:t xml:space="preserve"> </w:t>
      </w:r>
    </w:p>
    <w:p w:rsidR="00274AA0" w:rsidRPr="00A56CA5" w:rsidRDefault="00274AA0" w:rsidP="00A56CA5">
      <w:pPr>
        <w:pStyle w:val="a3"/>
        <w:spacing w:before="150" w:beforeAutospacing="0" w:after="0" w:afterAutospacing="0"/>
        <w:ind w:firstLine="709"/>
        <w:textAlignment w:val="top"/>
        <w:rPr>
          <w:color w:val="000000" w:themeColor="text1"/>
          <w:sz w:val="28"/>
          <w:szCs w:val="28"/>
        </w:rPr>
      </w:pPr>
      <w:r w:rsidRPr="00A56CA5">
        <w:rPr>
          <w:color w:val="000000" w:themeColor="text1"/>
          <w:sz w:val="28"/>
          <w:szCs w:val="28"/>
        </w:rPr>
        <w:t xml:space="preserve">Тромбоциты — самые мелкие клетки крови (2—4 мкм), которые участвуют </w:t>
      </w:r>
      <w:r w:rsidR="00A56CA5">
        <w:rPr>
          <w:color w:val="000000" w:themeColor="text1"/>
          <w:sz w:val="28"/>
          <w:szCs w:val="28"/>
        </w:rPr>
        <w:t>в гемостазе, воспалении, ремоде</w:t>
      </w:r>
      <w:r w:rsidRPr="00A56CA5">
        <w:rPr>
          <w:color w:val="000000" w:themeColor="text1"/>
          <w:sz w:val="28"/>
          <w:szCs w:val="28"/>
        </w:rPr>
        <w:t xml:space="preserve">лировании тканей и заживлении ран. Они образуются в красном костном мозге отшнуровыванием участка цитоплазмы с мембраной от мегакариоцитов. </w:t>
      </w:r>
    </w:p>
    <w:p w:rsidR="00A56CA5" w:rsidRDefault="00274AA0" w:rsidP="00A56CA5">
      <w:pPr>
        <w:pStyle w:val="a3"/>
        <w:spacing w:before="150" w:beforeAutospacing="0" w:after="0" w:afterAutospacing="0"/>
        <w:ind w:firstLine="709"/>
        <w:textAlignment w:val="top"/>
        <w:rPr>
          <w:color w:val="000000" w:themeColor="text1"/>
          <w:sz w:val="28"/>
          <w:szCs w:val="28"/>
        </w:rPr>
      </w:pPr>
      <w:r w:rsidRPr="00A56CA5">
        <w:rPr>
          <w:color w:val="000000" w:themeColor="text1"/>
          <w:sz w:val="28"/>
          <w:szCs w:val="28"/>
        </w:rPr>
        <w:t>Тромбоциты являются важным компонентом системы гемостаза: адгезия тромбоцитов к месту повреждения сосуда, агрегация, секреция факторов свертывания, последующая ретракция сгустка, спазм мелких сосудов и образование белого тромбоцитарного тромба останавливают кровотечение в микроциркулятор-ных сосудах с диаметром до 100 нм. Активация свертывающей системы индуцирует образование фибрина на поверхности активированных тромбоцитов и формирование полноценного тромба. При активации тромбоцитов естественными стимуляторами, такими как тромбин или коллаген, обнажающиеся при повреждении сосудистой стенки, они способны выбрасывать содержимое своих гранул, содержащих факторы свертывания, пероксидазу, серотонин, ионы кальция — Са2+, АДФ, фактор Виллебранда, тромбоцитарный фибриноген, фактор роста тромбоцитов и др. Поверхность тромбоцитов при высшей степени активации становится прокоагулянтной за счет экспонирования фосфатидилсерина и стимулирует формирование тромба. Также тромбоциты играют существенную роль в заживлении и регенерации поврежденных тканей, высвобождая факторы роста, которые стимулируют деление и пролиферацию клеток в области повреждения.</w:t>
      </w:r>
    </w:p>
    <w:p w:rsidR="00A56CA5" w:rsidRDefault="00274AA0" w:rsidP="00A56CA5">
      <w:pPr>
        <w:pStyle w:val="a3"/>
        <w:spacing w:before="150" w:beforeAutospacing="0" w:after="0" w:afterAutospacing="0"/>
        <w:ind w:firstLine="709"/>
        <w:textAlignment w:val="top"/>
        <w:rPr>
          <w:color w:val="000000" w:themeColor="text1"/>
          <w:sz w:val="28"/>
          <w:szCs w:val="28"/>
        </w:rPr>
      </w:pPr>
      <w:r w:rsidRPr="00A56CA5">
        <w:rPr>
          <w:color w:val="000000" w:themeColor="text1"/>
          <w:sz w:val="28"/>
          <w:szCs w:val="28"/>
        </w:rPr>
        <w:t>Тромбоцитопатии характеризуются в первую очередь развитием спонтанных и посттравматических кожно-слизистых кровотечений. Распознавание и дифференциация тромбоцитопатий основывается на выявлении кровоточивости микроциркуляторного типа с нарушением функциональных свойств, морфологии и биохимических характеристик тромбоцитов. На основании этих проявлений основывается современная классификация тромбоцитопатий, которая подразделяется на 2 большие группы — наследственные и приобретенные.</w:t>
      </w:r>
      <w:r w:rsidR="00A56CA5">
        <w:rPr>
          <w:color w:val="000000" w:themeColor="text1"/>
          <w:sz w:val="28"/>
          <w:szCs w:val="28"/>
        </w:rPr>
        <w:t xml:space="preserve"> </w:t>
      </w:r>
      <w:r w:rsidR="00A56CA5" w:rsidRPr="00A56CA5">
        <w:rPr>
          <w:color w:val="000000" w:themeColor="text1"/>
          <w:sz w:val="28"/>
          <w:szCs w:val="28"/>
        </w:rPr>
        <w:t>Наследственные нарушения функции тромбоцитов охватывают разнородную группу геморрагических заболеваний, вызванных врожденными дефектами морфологии и/или функции тромбоцитов при нормальном их количестве</w:t>
      </w:r>
      <w:r w:rsidR="00A56CA5">
        <w:rPr>
          <w:color w:val="000000" w:themeColor="text1"/>
          <w:sz w:val="28"/>
          <w:szCs w:val="28"/>
        </w:rPr>
        <w:t>.</w:t>
      </w:r>
    </w:p>
    <w:p w:rsidR="00FB0EE0" w:rsidRPr="00A56CA5" w:rsidRDefault="00274AA0" w:rsidP="00A56CA5">
      <w:pPr>
        <w:pStyle w:val="a3"/>
        <w:spacing w:before="150" w:beforeAutospacing="0" w:after="0" w:afterAutospacing="0"/>
        <w:ind w:firstLine="709"/>
        <w:textAlignment w:val="top"/>
        <w:rPr>
          <w:color w:val="000000" w:themeColor="text1"/>
          <w:sz w:val="28"/>
          <w:szCs w:val="28"/>
        </w:rPr>
      </w:pPr>
      <w:r w:rsidRPr="00A56CA5">
        <w:rPr>
          <w:color w:val="000000" w:themeColor="text1"/>
          <w:sz w:val="28"/>
          <w:szCs w:val="28"/>
        </w:rPr>
        <w:t>Клинические проявления зависят от особенностей качественных и количественных дефектов тромбоцитов — тяжесть геморрагического синдрома может значительно варьироваться и не зависеть напрямую от степени дефекта. При легкой кровоточивости может отмечаться склонность к синячковости при малых и незначительных травмах, на месте сдавливания резинкой; периодические необильные носовые кровотечения, семейные длительные менструации у женщин и др. В случае развития массивного геморрагического синдрома могут ра</w:t>
      </w:r>
      <w:r w:rsidR="00A56CA5">
        <w:rPr>
          <w:color w:val="000000" w:themeColor="text1"/>
          <w:sz w:val="28"/>
          <w:szCs w:val="28"/>
        </w:rPr>
        <w:t>звиваться жизнеугрожающие крово</w:t>
      </w:r>
      <w:r w:rsidRPr="00A56CA5">
        <w:rPr>
          <w:color w:val="000000" w:themeColor="text1"/>
          <w:sz w:val="28"/>
          <w:szCs w:val="28"/>
        </w:rPr>
        <w:t>потери. </w:t>
      </w:r>
    </w:p>
    <w:p w:rsidR="00A56CA5" w:rsidRDefault="00A56CA5" w:rsidP="00A56CA5">
      <w:pPr>
        <w:pStyle w:val="a3"/>
        <w:spacing w:before="150" w:beforeAutospacing="0" w:after="0" w:afterAutospacing="0"/>
        <w:ind w:firstLine="709"/>
        <w:textAlignment w:val="top"/>
        <w:rPr>
          <w:b/>
          <w:bCs/>
          <w:sz w:val="28"/>
          <w:szCs w:val="28"/>
        </w:rPr>
      </w:pPr>
      <w:r>
        <w:rPr>
          <w:b/>
          <w:bCs/>
          <w:sz w:val="28"/>
          <w:szCs w:val="28"/>
        </w:rPr>
        <w:lastRenderedPageBreak/>
        <w:t>Терапия наследственных нарушений</w:t>
      </w:r>
    </w:p>
    <w:p w:rsidR="00A56CA5" w:rsidRDefault="00A56CA5" w:rsidP="00A56CA5">
      <w:pPr>
        <w:pStyle w:val="a3"/>
        <w:spacing w:before="150" w:beforeAutospacing="0" w:after="0" w:afterAutospacing="0"/>
        <w:ind w:firstLine="709"/>
        <w:textAlignment w:val="top"/>
        <w:rPr>
          <w:color w:val="000000" w:themeColor="text1"/>
          <w:sz w:val="28"/>
          <w:szCs w:val="28"/>
        </w:rPr>
      </w:pPr>
    </w:p>
    <w:p w:rsidR="00F62058" w:rsidRPr="00A56CA5" w:rsidRDefault="00F62058" w:rsidP="00A56CA5">
      <w:pPr>
        <w:pStyle w:val="a3"/>
        <w:shd w:val="clear" w:color="auto" w:fill="FFFFFF"/>
        <w:spacing w:before="0" w:beforeAutospacing="0" w:after="435" w:afterAutospacing="0"/>
        <w:ind w:firstLine="709"/>
        <w:rPr>
          <w:color w:val="000000" w:themeColor="text1"/>
          <w:sz w:val="28"/>
          <w:szCs w:val="28"/>
        </w:rPr>
      </w:pPr>
      <w:r w:rsidRPr="00A56CA5">
        <w:rPr>
          <w:color w:val="000000" w:themeColor="text1"/>
          <w:sz w:val="28"/>
          <w:szCs w:val="28"/>
        </w:rPr>
        <w:t>Лечение наследственных нарушений тромбоцитов будет варьироваться в зависимости от тяжести заболевания. Объем и масштаб лечения должны быть индивидуализированы для каждого пациента. Как минимум, обучение пациентов и консультирование рекомендуется после постановки диагноза. Пациенты должны быть осведомлены о вариантах первичной медицинской помощи, если должно произойти легкое кровотечение, а также о воздействии лекарств, которые могут повлиять на функцию тромбоцитов (то есть аспирин).</w:t>
      </w:r>
    </w:p>
    <w:p w:rsidR="00F62058" w:rsidRPr="00A56CA5" w:rsidRDefault="00F62058" w:rsidP="00A56CA5">
      <w:pPr>
        <w:pStyle w:val="a3"/>
        <w:shd w:val="clear" w:color="auto" w:fill="FFFFFF"/>
        <w:spacing w:before="0" w:beforeAutospacing="0" w:after="435" w:afterAutospacing="0"/>
        <w:ind w:firstLine="709"/>
        <w:rPr>
          <w:color w:val="000000" w:themeColor="text1"/>
          <w:sz w:val="28"/>
          <w:szCs w:val="28"/>
        </w:rPr>
      </w:pPr>
      <w:r w:rsidRPr="00A56CA5">
        <w:rPr>
          <w:color w:val="000000" w:themeColor="text1"/>
          <w:sz w:val="28"/>
          <w:szCs w:val="28"/>
        </w:rPr>
        <w:t>В более тяжелых случаях десмопрессин (DDAVP) или антифибринолитики могут использоваться для контроля эпизодов легкого кровотечения, в то время как переливание тромбоцитов остается основным вариантом для лечения тяжелого кровотечения или подготовки пациентов к операциям с высоким риском кровотечения, таким как нейрохирургия. </w:t>
      </w:r>
      <w:r w:rsidRPr="00A56CA5">
        <w:rPr>
          <w:color w:val="000000" w:themeColor="text1"/>
          <w:sz w:val="28"/>
          <w:szCs w:val="28"/>
          <w:vertAlign w:val="superscript"/>
        </w:rPr>
        <w:t>20</w:t>
      </w:r>
      <w:r w:rsidRPr="00A56CA5">
        <w:rPr>
          <w:color w:val="000000" w:themeColor="text1"/>
          <w:sz w:val="28"/>
          <w:szCs w:val="28"/>
        </w:rPr>
        <w:t> В некоторых случаях, например у пациентов с GT, происходит аллоиммунизация антигенам тромбоцитов, и гемостатическая поддержка должна обеспечиваться активированными концентратами фактора свертывания крови.</w:t>
      </w:r>
    </w:p>
    <w:p w:rsidR="00F62058" w:rsidRPr="00A56CA5" w:rsidRDefault="00F62058" w:rsidP="00A56CA5">
      <w:pPr>
        <w:pStyle w:val="a3"/>
        <w:shd w:val="clear" w:color="auto" w:fill="FFFFFF"/>
        <w:spacing w:before="0" w:beforeAutospacing="0" w:after="435" w:afterAutospacing="0"/>
        <w:ind w:firstLine="709"/>
        <w:rPr>
          <w:color w:val="000000" w:themeColor="text1"/>
          <w:sz w:val="28"/>
          <w:szCs w:val="28"/>
        </w:rPr>
      </w:pPr>
      <w:r w:rsidRPr="00A56CA5">
        <w:rPr>
          <w:color w:val="000000" w:themeColor="text1"/>
          <w:sz w:val="28"/>
          <w:szCs w:val="28"/>
        </w:rPr>
        <w:t>Трансплантация костного мозга была успешной в лечении наследственных нарушений тромбоцитов в высоко отобранных случаях, особенно в тех, у которых ассоциированная недостаточность костного мозга или иммунодефицит ассоциировались. </w:t>
      </w:r>
      <w:r w:rsidRPr="00A56CA5">
        <w:rPr>
          <w:color w:val="000000" w:themeColor="text1"/>
          <w:sz w:val="28"/>
          <w:szCs w:val="28"/>
          <w:vertAlign w:val="superscript"/>
        </w:rPr>
        <w:t>21</w:t>
      </w:r>
      <w:r w:rsidRPr="00A56CA5">
        <w:rPr>
          <w:color w:val="000000" w:themeColor="text1"/>
          <w:sz w:val="28"/>
          <w:szCs w:val="28"/>
        </w:rPr>
        <w:t> Однако из-за высокой заболеваемости и смертности при трансплантации трансплантат широко не рекомендуется.</w:t>
      </w:r>
      <w:r w:rsidRPr="00A56CA5">
        <w:rPr>
          <w:color w:val="000000" w:themeColor="text1"/>
          <w:sz w:val="28"/>
          <w:szCs w:val="28"/>
        </w:rPr>
        <w:br/>
        <w:t>Генная терапия и технологии редактирования генов являются многообещающими вариантами, которые в настоящее время находятся на стадии изучения и могут принести большую пользу пациентам с IPD в будущем. </w:t>
      </w:r>
    </w:p>
    <w:p w:rsidR="00F62058" w:rsidRPr="00A56CA5" w:rsidRDefault="00F62058" w:rsidP="00A56CA5">
      <w:pPr>
        <w:ind w:firstLine="709"/>
        <w:rPr>
          <w:rFonts w:ascii="Times New Roman" w:hAnsi="Times New Roman" w:cs="Times New Roman"/>
          <w:color w:val="000000" w:themeColor="text1"/>
          <w:sz w:val="28"/>
          <w:szCs w:val="28"/>
          <w:u w:val="single"/>
        </w:rPr>
      </w:pPr>
    </w:p>
    <w:p w:rsidR="00A56CA5" w:rsidRDefault="00A56CA5" w:rsidP="00A56CA5">
      <w:pPr>
        <w:ind w:firstLine="709"/>
        <w:rPr>
          <w:b/>
          <w:bCs/>
          <w:sz w:val="28"/>
          <w:szCs w:val="28"/>
        </w:rPr>
      </w:pPr>
    </w:p>
    <w:p w:rsidR="00A56CA5" w:rsidRDefault="00A56CA5" w:rsidP="00A56CA5">
      <w:pPr>
        <w:ind w:firstLine="709"/>
        <w:rPr>
          <w:b/>
          <w:bCs/>
          <w:sz w:val="28"/>
          <w:szCs w:val="28"/>
        </w:rPr>
      </w:pPr>
    </w:p>
    <w:p w:rsidR="00A56CA5" w:rsidRDefault="00A56CA5" w:rsidP="00A56CA5">
      <w:pPr>
        <w:ind w:firstLine="709"/>
        <w:rPr>
          <w:b/>
          <w:bCs/>
          <w:sz w:val="28"/>
          <w:szCs w:val="28"/>
        </w:rPr>
      </w:pPr>
    </w:p>
    <w:p w:rsidR="00A56CA5" w:rsidRDefault="00A56CA5" w:rsidP="00A56CA5">
      <w:pPr>
        <w:ind w:firstLine="709"/>
        <w:rPr>
          <w:b/>
          <w:bCs/>
          <w:sz w:val="28"/>
          <w:szCs w:val="28"/>
        </w:rPr>
      </w:pPr>
    </w:p>
    <w:p w:rsidR="00A56CA5" w:rsidRDefault="00A56CA5" w:rsidP="00A56CA5">
      <w:pPr>
        <w:ind w:firstLine="709"/>
        <w:rPr>
          <w:b/>
          <w:bCs/>
          <w:sz w:val="28"/>
          <w:szCs w:val="28"/>
        </w:rPr>
      </w:pPr>
    </w:p>
    <w:p w:rsidR="001438FF" w:rsidRPr="00A56CA5" w:rsidRDefault="00A56CA5" w:rsidP="00A56CA5">
      <w:pPr>
        <w:ind w:firstLine="709"/>
        <w:rPr>
          <w:rFonts w:ascii="Times New Roman" w:hAnsi="Times New Roman" w:cs="Times New Roman"/>
          <w:color w:val="000000" w:themeColor="text1"/>
          <w:sz w:val="28"/>
          <w:szCs w:val="28"/>
          <w:u w:val="single"/>
        </w:rPr>
      </w:pPr>
      <w:r>
        <w:rPr>
          <w:b/>
          <w:bCs/>
          <w:sz w:val="28"/>
          <w:szCs w:val="28"/>
        </w:rPr>
        <w:lastRenderedPageBreak/>
        <w:t>Общее направление при лечении</w:t>
      </w:r>
    </w:p>
    <w:p w:rsidR="00FB4252" w:rsidRPr="00A56CA5" w:rsidRDefault="00FB4252" w:rsidP="00A56CA5">
      <w:p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При кровотечении:</w:t>
      </w:r>
    </w:p>
    <w:p w:rsidR="001438FF" w:rsidRPr="00A56CA5" w:rsidRDefault="001438FF" w:rsidP="00A56CA5">
      <w:pPr>
        <w:pStyle w:val="a4"/>
        <w:numPr>
          <w:ilvl w:val="0"/>
          <w:numId w:val="3"/>
        </w:num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Контролировать кровотечение на ранней стадии и использовать мультимодальн</w:t>
      </w:r>
      <w:r w:rsidR="00FB4252" w:rsidRPr="00A56CA5">
        <w:rPr>
          <w:rFonts w:ascii="Times New Roman" w:hAnsi="Times New Roman" w:cs="Times New Roman"/>
          <w:color w:val="000000" w:themeColor="text1"/>
          <w:sz w:val="28"/>
          <w:szCs w:val="28"/>
        </w:rPr>
        <w:t>ую</w:t>
      </w:r>
      <w:r w:rsidR="00A56CA5">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терапи</w:t>
      </w:r>
      <w:r w:rsidR="00FB4252" w:rsidRPr="00A56CA5">
        <w:rPr>
          <w:rFonts w:ascii="Times New Roman" w:hAnsi="Times New Roman" w:cs="Times New Roman"/>
          <w:color w:val="000000" w:themeColor="text1"/>
          <w:sz w:val="28"/>
          <w:szCs w:val="28"/>
        </w:rPr>
        <w:t>ю</w:t>
      </w:r>
      <w:r w:rsidRPr="00A56CA5">
        <w:rPr>
          <w:rFonts w:ascii="Times New Roman" w:hAnsi="Times New Roman" w:cs="Times New Roman"/>
          <w:color w:val="000000" w:themeColor="text1"/>
          <w:sz w:val="28"/>
          <w:szCs w:val="28"/>
        </w:rPr>
        <w:t xml:space="preserve"> при необходимости</w:t>
      </w:r>
      <w:r w:rsidR="00A56CA5" w:rsidRPr="00A56CA5">
        <w:rPr>
          <w:rFonts w:ascii="Times New Roman" w:hAnsi="Times New Roman" w:cs="Times New Roman"/>
          <w:color w:val="000000" w:themeColor="text1"/>
          <w:sz w:val="28"/>
          <w:szCs w:val="28"/>
        </w:rPr>
        <w:t>;</w:t>
      </w:r>
    </w:p>
    <w:p w:rsidR="00FB4252" w:rsidRPr="00A56CA5" w:rsidRDefault="00FB4252" w:rsidP="00A56CA5">
      <w:pPr>
        <w:pStyle w:val="a4"/>
        <w:numPr>
          <w:ilvl w:val="0"/>
          <w:numId w:val="3"/>
        </w:num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Десмопрессин доказал свою эффективность при легких дефек</w:t>
      </w:r>
      <w:r w:rsidR="00A56CA5">
        <w:rPr>
          <w:rFonts w:ascii="Times New Roman" w:hAnsi="Times New Roman" w:cs="Times New Roman"/>
          <w:color w:val="000000" w:themeColor="text1"/>
          <w:sz w:val="28"/>
          <w:szCs w:val="28"/>
        </w:rPr>
        <w:t>т</w:t>
      </w:r>
      <w:r w:rsidRPr="00A56CA5">
        <w:rPr>
          <w:rFonts w:ascii="Times New Roman" w:hAnsi="Times New Roman" w:cs="Times New Roman"/>
          <w:color w:val="000000" w:themeColor="text1"/>
          <w:sz w:val="28"/>
          <w:szCs w:val="28"/>
        </w:rPr>
        <w:t>ах функции тромбоцитов и возможно синдроме Бернарда Сулье</w:t>
      </w:r>
      <w:r w:rsidR="00A56CA5" w:rsidRPr="00A56CA5">
        <w:rPr>
          <w:rFonts w:ascii="Times New Roman" w:hAnsi="Times New Roman" w:cs="Times New Roman"/>
          <w:color w:val="000000" w:themeColor="text1"/>
          <w:sz w:val="28"/>
          <w:szCs w:val="28"/>
        </w:rPr>
        <w:t>;</w:t>
      </w:r>
    </w:p>
    <w:p w:rsidR="00FB4252" w:rsidRPr="00A56CA5" w:rsidRDefault="00FB4252" w:rsidP="00A56CA5">
      <w:pPr>
        <w:pStyle w:val="a4"/>
        <w:numPr>
          <w:ilvl w:val="0"/>
          <w:numId w:val="3"/>
        </w:num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Рекомбинантный активированный фактор свертывания крови VII был одобрен FDA для использования у пациентов с тромбастенией Гланцмана с невосприимчивыми тромбоцитами</w:t>
      </w:r>
      <w:r w:rsidR="00A56CA5" w:rsidRPr="00A56CA5">
        <w:rPr>
          <w:rFonts w:ascii="Times New Roman" w:hAnsi="Times New Roman" w:cs="Times New Roman"/>
          <w:color w:val="000000" w:themeColor="text1"/>
          <w:sz w:val="28"/>
          <w:szCs w:val="28"/>
        </w:rPr>
        <w:t>;</w:t>
      </w:r>
    </w:p>
    <w:p w:rsidR="00FB4252" w:rsidRPr="00A56CA5" w:rsidRDefault="00FB4252" w:rsidP="00A56CA5">
      <w:pPr>
        <w:pStyle w:val="a4"/>
        <w:numPr>
          <w:ilvl w:val="0"/>
          <w:numId w:val="3"/>
        </w:num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Антифибринолитическая терапия является важным адъювантом</w:t>
      </w:r>
      <w:r w:rsidR="00A56CA5" w:rsidRPr="00A56CA5">
        <w:rPr>
          <w:rFonts w:ascii="Times New Roman" w:hAnsi="Times New Roman" w:cs="Times New Roman"/>
          <w:color w:val="000000" w:themeColor="text1"/>
          <w:sz w:val="28"/>
          <w:szCs w:val="28"/>
        </w:rPr>
        <w:t>;</w:t>
      </w:r>
    </w:p>
    <w:p w:rsidR="00FB4252" w:rsidRPr="00A56CA5" w:rsidRDefault="00FB4252" w:rsidP="00A56CA5">
      <w:pPr>
        <w:pStyle w:val="a4"/>
        <w:numPr>
          <w:ilvl w:val="0"/>
          <w:numId w:val="3"/>
        </w:num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Трансфузия тромбоцитов в условиях тяжелого жизнеугрожающего кровотечения</w:t>
      </w:r>
      <w:r w:rsidR="00A56CA5">
        <w:rPr>
          <w:rFonts w:ascii="Times New Roman" w:hAnsi="Times New Roman" w:cs="Times New Roman"/>
          <w:color w:val="000000" w:themeColor="text1"/>
          <w:sz w:val="28"/>
          <w:szCs w:val="28"/>
        </w:rPr>
        <w:t>.</w:t>
      </w:r>
    </w:p>
    <w:p w:rsidR="00A56CA5" w:rsidRDefault="00A56CA5" w:rsidP="00A56CA5">
      <w:pPr>
        <w:pStyle w:val="a4"/>
        <w:ind w:left="1429"/>
        <w:rPr>
          <w:rFonts w:ascii="Times New Roman" w:hAnsi="Times New Roman" w:cs="Times New Roman"/>
          <w:color w:val="000000" w:themeColor="text1"/>
          <w:sz w:val="28"/>
          <w:szCs w:val="28"/>
        </w:rPr>
      </w:pPr>
    </w:p>
    <w:p w:rsidR="00FB4252" w:rsidRPr="00A56CA5" w:rsidRDefault="00FB4252" w:rsidP="00A56CA5">
      <w:pPr>
        <w:pStyle w:val="a4"/>
        <w:ind w:left="142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Профилактика - лучшая защита</w:t>
      </w:r>
      <w:r w:rsidR="00A56CA5">
        <w:rPr>
          <w:rFonts w:ascii="Times New Roman" w:hAnsi="Times New Roman" w:cs="Times New Roman"/>
          <w:color w:val="000000" w:themeColor="text1"/>
          <w:sz w:val="28"/>
          <w:szCs w:val="28"/>
        </w:rPr>
        <w:t>:</w:t>
      </w:r>
    </w:p>
    <w:p w:rsidR="00FB4252" w:rsidRPr="00A56CA5" w:rsidRDefault="00FB4252" w:rsidP="00A56CA5">
      <w:pPr>
        <w:pStyle w:val="a4"/>
        <w:numPr>
          <w:ilvl w:val="0"/>
          <w:numId w:val="3"/>
        </w:num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Хороший уход за полостью рта</w:t>
      </w:r>
      <w:r w:rsidR="00A56CA5" w:rsidRPr="00A56CA5">
        <w:rPr>
          <w:rFonts w:ascii="Times New Roman" w:hAnsi="Times New Roman" w:cs="Times New Roman"/>
          <w:color w:val="000000" w:themeColor="text1"/>
          <w:sz w:val="28"/>
          <w:szCs w:val="28"/>
        </w:rPr>
        <w:t>;</w:t>
      </w:r>
    </w:p>
    <w:p w:rsidR="00A56CA5" w:rsidRPr="00A56CA5" w:rsidRDefault="00FB4252" w:rsidP="00A56CA5">
      <w:pPr>
        <w:pStyle w:val="a4"/>
        <w:numPr>
          <w:ilvl w:val="0"/>
          <w:numId w:val="3"/>
        </w:num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Раннее представление для любых эпизодов кровотечения</w:t>
      </w:r>
      <w:r w:rsidR="00A56CA5" w:rsidRPr="00A56CA5">
        <w:rPr>
          <w:rFonts w:ascii="Times New Roman" w:hAnsi="Times New Roman" w:cs="Times New Roman"/>
          <w:color w:val="000000" w:themeColor="text1"/>
          <w:sz w:val="28"/>
          <w:szCs w:val="28"/>
        </w:rPr>
        <w:t>;</w:t>
      </w:r>
    </w:p>
    <w:p w:rsidR="00FB4252" w:rsidRPr="00A56CA5" w:rsidRDefault="00A56CA5" w:rsidP="00A56CA5">
      <w:pPr>
        <w:pStyle w:val="a4"/>
        <w:numPr>
          <w:ilvl w:val="0"/>
          <w:numId w:val="3"/>
        </w:num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Избегать</w:t>
      </w:r>
      <w:r w:rsidR="00FB4252" w:rsidRPr="00A56CA5">
        <w:rPr>
          <w:rFonts w:ascii="Times New Roman" w:hAnsi="Times New Roman" w:cs="Times New Roman"/>
          <w:color w:val="000000" w:themeColor="text1"/>
          <w:sz w:val="28"/>
          <w:szCs w:val="28"/>
        </w:rPr>
        <w:t xml:space="preserve"> повторного прижига</w:t>
      </w:r>
      <w:r w:rsidR="00F62058" w:rsidRPr="00A56CA5">
        <w:rPr>
          <w:rFonts w:ascii="Times New Roman" w:hAnsi="Times New Roman" w:cs="Times New Roman"/>
          <w:color w:val="000000" w:themeColor="text1"/>
          <w:sz w:val="28"/>
          <w:szCs w:val="28"/>
        </w:rPr>
        <w:t xml:space="preserve">ния </w:t>
      </w:r>
      <w:r w:rsidR="00FB4252" w:rsidRPr="00A56CA5">
        <w:rPr>
          <w:rFonts w:ascii="Times New Roman" w:hAnsi="Times New Roman" w:cs="Times New Roman"/>
          <w:color w:val="000000" w:themeColor="text1"/>
          <w:sz w:val="28"/>
          <w:szCs w:val="28"/>
        </w:rPr>
        <w:t>носа, если это возможно</w:t>
      </w:r>
      <w:r w:rsidRPr="00A56CA5">
        <w:rPr>
          <w:rFonts w:ascii="Times New Roman" w:hAnsi="Times New Roman" w:cs="Times New Roman"/>
          <w:color w:val="000000" w:themeColor="text1"/>
          <w:sz w:val="28"/>
          <w:szCs w:val="28"/>
        </w:rPr>
        <w:t>;</w:t>
      </w:r>
    </w:p>
    <w:p w:rsidR="00FB4252" w:rsidRPr="00A56CA5" w:rsidRDefault="00F62058" w:rsidP="00A56CA5">
      <w:pPr>
        <w:pStyle w:val="a4"/>
        <w:numPr>
          <w:ilvl w:val="0"/>
          <w:numId w:val="3"/>
        </w:num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Эльтромбопаг</w:t>
      </w:r>
      <w:r w:rsidR="00FB4252" w:rsidRPr="00A56CA5">
        <w:rPr>
          <w:rFonts w:ascii="Times New Roman" w:hAnsi="Times New Roman" w:cs="Times New Roman"/>
          <w:color w:val="000000" w:themeColor="text1"/>
          <w:sz w:val="28"/>
          <w:szCs w:val="28"/>
        </w:rPr>
        <w:t xml:space="preserve"> был использован для </w:t>
      </w:r>
      <w:r w:rsidRPr="00A56CA5">
        <w:rPr>
          <w:rFonts w:ascii="Times New Roman" w:hAnsi="Times New Roman" w:cs="Times New Roman"/>
          <w:color w:val="000000" w:themeColor="text1"/>
          <w:sz w:val="28"/>
          <w:szCs w:val="28"/>
        </w:rPr>
        <w:t>увеличения числа</w:t>
      </w:r>
      <w:r w:rsidR="00FB4252" w:rsidRPr="00A56CA5">
        <w:rPr>
          <w:rFonts w:ascii="Times New Roman" w:hAnsi="Times New Roman" w:cs="Times New Roman"/>
          <w:color w:val="000000" w:themeColor="text1"/>
          <w:sz w:val="28"/>
          <w:szCs w:val="28"/>
        </w:rPr>
        <w:t xml:space="preserve"> тромбоцитов в значительной степени</w:t>
      </w:r>
      <w:r w:rsidR="00A56CA5" w:rsidRPr="00A56CA5">
        <w:rPr>
          <w:rFonts w:ascii="Times New Roman" w:hAnsi="Times New Roman" w:cs="Times New Roman"/>
          <w:color w:val="000000" w:themeColor="text1"/>
          <w:sz w:val="28"/>
          <w:szCs w:val="28"/>
        </w:rPr>
        <w:t>;</w:t>
      </w:r>
    </w:p>
    <w:p w:rsidR="00FB4252" w:rsidRPr="00A56CA5" w:rsidRDefault="00F62058" w:rsidP="00A56CA5">
      <w:pPr>
        <w:pStyle w:val="a4"/>
        <w:numPr>
          <w:ilvl w:val="0"/>
          <w:numId w:val="3"/>
        </w:num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При тромбоцитопении может играть роль агонист</w:t>
      </w:r>
      <w:r w:rsidR="00FB4252" w:rsidRPr="00A56CA5">
        <w:rPr>
          <w:rFonts w:ascii="Times New Roman" w:hAnsi="Times New Roman" w:cs="Times New Roman"/>
          <w:color w:val="000000" w:themeColor="text1"/>
          <w:sz w:val="28"/>
          <w:szCs w:val="28"/>
        </w:rPr>
        <w:t xml:space="preserve"> рецептора тромбопоэтина</w:t>
      </w:r>
      <w:r w:rsidRPr="00A56CA5">
        <w:rPr>
          <w:rFonts w:ascii="Times New Roman" w:hAnsi="Times New Roman" w:cs="Times New Roman"/>
          <w:color w:val="000000" w:themeColor="text1"/>
          <w:sz w:val="28"/>
          <w:szCs w:val="28"/>
        </w:rPr>
        <w:t>, особенно при кратковременной</w:t>
      </w:r>
      <w:r w:rsidR="00A56CA5" w:rsidRPr="00A56CA5">
        <w:rPr>
          <w:rFonts w:ascii="Times New Roman" w:hAnsi="Times New Roman" w:cs="Times New Roman"/>
          <w:color w:val="000000" w:themeColor="text1"/>
          <w:sz w:val="28"/>
          <w:szCs w:val="28"/>
        </w:rPr>
        <w:t>;</w:t>
      </w:r>
    </w:p>
    <w:p w:rsidR="00606826" w:rsidRPr="00A56CA5" w:rsidRDefault="00606826" w:rsidP="00A56CA5">
      <w:pPr>
        <w:pStyle w:val="a4"/>
        <w:numPr>
          <w:ilvl w:val="0"/>
          <w:numId w:val="3"/>
        </w:num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shd w:val="clear" w:color="auto" w:fill="FFFFFF"/>
        </w:rPr>
        <w:t>Лечение врожденной тромбоцитопатии -</w:t>
      </w:r>
      <w:r w:rsidR="00A56CA5">
        <w:rPr>
          <w:rFonts w:ascii="Times New Roman" w:hAnsi="Times New Roman" w:cs="Times New Roman"/>
          <w:color w:val="000000" w:themeColor="text1"/>
          <w:sz w:val="28"/>
          <w:szCs w:val="28"/>
        </w:rPr>
        <w:t>переливание</w:t>
      </w:r>
      <w:r w:rsidRPr="00A56CA5">
        <w:rPr>
          <w:rFonts w:ascii="Times New Roman" w:hAnsi="Times New Roman" w:cs="Times New Roman"/>
          <w:color w:val="000000" w:themeColor="text1"/>
          <w:sz w:val="28"/>
          <w:szCs w:val="28"/>
          <w:shd w:val="clear" w:color="auto" w:fill="FFFFFF"/>
        </w:rPr>
        <w:t xml:space="preserve"> тромбоцитов для контроля кровотечения. При приобретенных тромбоцитопатиях </w:t>
      </w:r>
      <w:r w:rsidRPr="00A56CA5">
        <w:rPr>
          <w:rFonts w:ascii="Times New Roman" w:hAnsi="Times New Roman" w:cs="Times New Roman"/>
          <w:color w:val="000000" w:themeColor="text1"/>
          <w:sz w:val="28"/>
          <w:szCs w:val="28"/>
          <w:u w:val="single"/>
          <w:shd w:val="clear" w:color="auto" w:fill="FFFFFF"/>
        </w:rPr>
        <w:t>излечение основного заболевания</w:t>
      </w:r>
      <w:r w:rsidRPr="00A56CA5">
        <w:rPr>
          <w:rFonts w:ascii="Times New Roman" w:hAnsi="Times New Roman" w:cs="Times New Roman"/>
          <w:color w:val="000000" w:themeColor="text1"/>
          <w:sz w:val="28"/>
          <w:szCs w:val="28"/>
          <w:shd w:val="clear" w:color="auto" w:fill="FFFFFF"/>
        </w:rPr>
        <w:t xml:space="preserve"> обычно приводит к улучшению функции тромбоцитов.</w:t>
      </w:r>
    </w:p>
    <w:p w:rsidR="00A56CA5" w:rsidRDefault="00A56CA5" w:rsidP="00A56CA5">
      <w:pPr>
        <w:ind w:firstLine="709"/>
        <w:rPr>
          <w:rFonts w:ascii="Times New Roman" w:hAnsi="Times New Roman" w:cs="Times New Roman"/>
          <w:b/>
          <w:color w:val="000000" w:themeColor="text1"/>
          <w:sz w:val="28"/>
          <w:szCs w:val="28"/>
        </w:rPr>
      </w:pPr>
    </w:p>
    <w:p w:rsidR="00A56CA5" w:rsidRDefault="00A56CA5" w:rsidP="00A56CA5">
      <w:pPr>
        <w:ind w:firstLine="709"/>
        <w:rPr>
          <w:rFonts w:ascii="Times New Roman" w:hAnsi="Times New Roman" w:cs="Times New Roman"/>
          <w:b/>
          <w:color w:val="000000" w:themeColor="text1"/>
          <w:sz w:val="28"/>
          <w:szCs w:val="28"/>
        </w:rPr>
      </w:pPr>
    </w:p>
    <w:p w:rsidR="00A56CA5" w:rsidRDefault="00A56CA5" w:rsidP="00A56CA5">
      <w:pPr>
        <w:ind w:firstLine="709"/>
        <w:rPr>
          <w:rFonts w:ascii="Times New Roman" w:hAnsi="Times New Roman" w:cs="Times New Roman"/>
          <w:b/>
          <w:color w:val="000000" w:themeColor="text1"/>
          <w:sz w:val="28"/>
          <w:szCs w:val="28"/>
        </w:rPr>
      </w:pPr>
    </w:p>
    <w:p w:rsidR="00A56CA5" w:rsidRDefault="00A56CA5" w:rsidP="00A56CA5">
      <w:pPr>
        <w:ind w:firstLine="709"/>
        <w:rPr>
          <w:rFonts w:ascii="Times New Roman" w:hAnsi="Times New Roman" w:cs="Times New Roman"/>
          <w:b/>
          <w:color w:val="000000" w:themeColor="text1"/>
          <w:sz w:val="28"/>
          <w:szCs w:val="28"/>
        </w:rPr>
      </w:pPr>
    </w:p>
    <w:p w:rsidR="00A56CA5" w:rsidRDefault="00A56CA5" w:rsidP="00A56CA5">
      <w:pPr>
        <w:ind w:firstLine="709"/>
        <w:rPr>
          <w:rFonts w:ascii="Times New Roman" w:hAnsi="Times New Roman" w:cs="Times New Roman"/>
          <w:b/>
          <w:color w:val="000000" w:themeColor="text1"/>
          <w:sz w:val="28"/>
          <w:szCs w:val="28"/>
        </w:rPr>
      </w:pPr>
    </w:p>
    <w:p w:rsidR="00A56CA5" w:rsidRDefault="00A56CA5" w:rsidP="00A56CA5">
      <w:pPr>
        <w:ind w:firstLine="709"/>
        <w:rPr>
          <w:rFonts w:ascii="Times New Roman" w:hAnsi="Times New Roman" w:cs="Times New Roman"/>
          <w:b/>
          <w:color w:val="000000" w:themeColor="text1"/>
          <w:sz w:val="28"/>
          <w:szCs w:val="28"/>
        </w:rPr>
      </w:pPr>
    </w:p>
    <w:p w:rsidR="00A56CA5" w:rsidRDefault="00A56CA5" w:rsidP="00A56CA5">
      <w:pPr>
        <w:ind w:firstLine="709"/>
        <w:rPr>
          <w:rFonts w:ascii="Times New Roman" w:hAnsi="Times New Roman" w:cs="Times New Roman"/>
          <w:b/>
          <w:color w:val="000000" w:themeColor="text1"/>
          <w:sz w:val="28"/>
          <w:szCs w:val="28"/>
        </w:rPr>
      </w:pPr>
    </w:p>
    <w:p w:rsidR="00606826" w:rsidRPr="00A56CA5" w:rsidRDefault="00A56CA5" w:rsidP="00A56CA5">
      <w:pPr>
        <w:ind w:firstLine="709"/>
        <w:rPr>
          <w:rFonts w:ascii="Times New Roman" w:hAnsi="Times New Roman" w:cs="Times New Roman"/>
          <w:b/>
          <w:color w:val="000000" w:themeColor="text1"/>
          <w:sz w:val="28"/>
          <w:szCs w:val="28"/>
        </w:rPr>
      </w:pPr>
      <w:r w:rsidRPr="00A56CA5">
        <w:rPr>
          <w:rFonts w:ascii="Times New Roman" w:hAnsi="Times New Roman" w:cs="Times New Roman"/>
          <w:b/>
          <w:color w:val="000000" w:themeColor="text1"/>
          <w:sz w:val="28"/>
          <w:szCs w:val="28"/>
        </w:rPr>
        <w:lastRenderedPageBreak/>
        <w:t>Местное лечение</w:t>
      </w:r>
    </w:p>
    <w:p w:rsidR="00606826" w:rsidRPr="00A56CA5" w:rsidRDefault="00606826" w:rsidP="00A56CA5">
      <w:p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Местное кровотечение, такое как кровотечение из носа или десен, у пациентов с</w:t>
      </w:r>
      <w:r w:rsidR="00C0332E">
        <w:rPr>
          <w:rFonts w:ascii="Times New Roman" w:hAnsi="Times New Roman" w:cs="Times New Roman"/>
          <w:color w:val="000000" w:themeColor="text1"/>
          <w:sz w:val="28"/>
          <w:szCs w:val="28"/>
        </w:rPr>
        <w:t xml:space="preserve"> тромбоцитопатией</w:t>
      </w:r>
      <w:r w:rsidRPr="00A56CA5">
        <w:rPr>
          <w:rFonts w:ascii="Times New Roman" w:hAnsi="Times New Roman" w:cs="Times New Roman"/>
          <w:color w:val="000000" w:themeColor="text1"/>
          <w:sz w:val="28"/>
          <w:szCs w:val="28"/>
        </w:rPr>
        <w:t xml:space="preserve"> обычно можно остановить с помощью консервативных</w:t>
      </w:r>
      <w:r w:rsidR="00C0332E">
        <w:rPr>
          <w:rFonts w:ascii="Times New Roman" w:hAnsi="Times New Roman" w:cs="Times New Roman"/>
          <w:color w:val="000000" w:themeColor="text1"/>
          <w:sz w:val="28"/>
          <w:szCs w:val="28"/>
        </w:rPr>
        <w:t xml:space="preserve"> местных методов</w:t>
      </w:r>
      <w:r w:rsidRPr="00A56CA5">
        <w:rPr>
          <w:rFonts w:ascii="Times New Roman" w:hAnsi="Times New Roman" w:cs="Times New Roman"/>
          <w:color w:val="000000" w:themeColor="text1"/>
          <w:sz w:val="28"/>
          <w:szCs w:val="28"/>
        </w:rPr>
        <w:t>, включая носовые накладки и / или фибриновые герметики</w:t>
      </w:r>
      <w:r w:rsidR="00C0332E">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которые содержат фибриноген, тромбин, фактор XIII и апротинин</w:t>
      </w:r>
      <w:r w:rsidR="00C0332E">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или покрытый фибрином коллагеновый флис. Надлежащая гигиена полости рта важна для предотвращения кровоточивости десен. В случае кровотечения десен,</w:t>
      </w:r>
      <w:r w:rsidR="00C0332E">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полоскание рта транексамовой кислотой может быть полезным.</w:t>
      </w:r>
    </w:p>
    <w:p w:rsidR="00606826" w:rsidRPr="00C0332E" w:rsidRDefault="00606826" w:rsidP="00A56CA5">
      <w:pPr>
        <w:ind w:firstLine="709"/>
        <w:rPr>
          <w:rFonts w:ascii="Times New Roman" w:hAnsi="Times New Roman" w:cs="Times New Roman"/>
          <w:b/>
          <w:color w:val="000000" w:themeColor="text1"/>
          <w:sz w:val="28"/>
          <w:szCs w:val="28"/>
        </w:rPr>
      </w:pPr>
      <w:r w:rsidRPr="00C0332E">
        <w:rPr>
          <w:rFonts w:ascii="Times New Roman" w:hAnsi="Times New Roman" w:cs="Times New Roman"/>
          <w:b/>
          <w:color w:val="000000" w:themeColor="text1"/>
          <w:sz w:val="28"/>
          <w:szCs w:val="28"/>
        </w:rPr>
        <w:t>Системная антифибринолитическая терапия</w:t>
      </w:r>
    </w:p>
    <w:p w:rsidR="00606826" w:rsidRPr="00A56CA5" w:rsidRDefault="00606826" w:rsidP="00A56CA5">
      <w:p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Антифибринолитические агенты, такие как транексамовая кислота, являются эффективными</w:t>
      </w:r>
      <w:r w:rsidR="00C0332E">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в лечении кровотечений у пациентов с тромбоцитопатией. Для лечения слизистых кровотечений, меноррагии или желудочно-кишечного кровотечения транексамовой кислоты</w:t>
      </w:r>
      <w:r w:rsidR="00C0332E">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дается перорально (обычно 2-3 раза по 1000–1500 мг в день) или внутривенно в качестве монотерапии или дополнительной терапии. Тем не мен</w:t>
      </w:r>
      <w:r w:rsidR="00C0332E">
        <w:rPr>
          <w:rFonts w:ascii="Times New Roman" w:hAnsi="Times New Roman" w:cs="Times New Roman"/>
          <w:color w:val="000000" w:themeColor="text1"/>
          <w:sz w:val="28"/>
          <w:szCs w:val="28"/>
        </w:rPr>
        <w:t>е</w:t>
      </w:r>
      <w:r w:rsidRPr="00A56CA5">
        <w:rPr>
          <w:rFonts w:ascii="Times New Roman" w:hAnsi="Times New Roman" w:cs="Times New Roman"/>
          <w:color w:val="000000" w:themeColor="text1"/>
          <w:sz w:val="28"/>
          <w:szCs w:val="28"/>
        </w:rPr>
        <w:t>е,</w:t>
      </w:r>
      <w:r w:rsidR="00C0332E">
        <w:rPr>
          <w:rFonts w:ascii="Times New Roman" w:hAnsi="Times New Roman" w:cs="Times New Roman"/>
          <w:color w:val="000000" w:themeColor="text1"/>
          <w:sz w:val="28"/>
          <w:szCs w:val="28"/>
        </w:rPr>
        <w:t xml:space="preserve"> в</w:t>
      </w:r>
      <w:r w:rsidRPr="00A56CA5">
        <w:rPr>
          <w:rFonts w:ascii="Times New Roman" w:hAnsi="Times New Roman" w:cs="Times New Roman"/>
          <w:color w:val="000000" w:themeColor="text1"/>
          <w:sz w:val="28"/>
          <w:szCs w:val="28"/>
        </w:rPr>
        <w:t>ажным недостатком транексамовой кислоты является ее низкая биодоступность - около 30%, что требует частого приема</w:t>
      </w:r>
      <w:r w:rsidR="00C0332E">
        <w:rPr>
          <w:rFonts w:ascii="Times New Roman" w:hAnsi="Times New Roman" w:cs="Times New Roman"/>
          <w:color w:val="000000" w:themeColor="text1"/>
          <w:sz w:val="28"/>
          <w:szCs w:val="28"/>
        </w:rPr>
        <w:t xml:space="preserve"> высоких доз</w:t>
      </w:r>
      <w:r w:rsidRPr="00A56CA5">
        <w:rPr>
          <w:rFonts w:ascii="Times New Roman" w:hAnsi="Times New Roman" w:cs="Times New Roman"/>
          <w:color w:val="000000" w:themeColor="text1"/>
          <w:sz w:val="28"/>
          <w:szCs w:val="28"/>
        </w:rPr>
        <w:t>.</w:t>
      </w:r>
    </w:p>
    <w:p w:rsidR="00606826" w:rsidRPr="00A56CA5" w:rsidRDefault="00C0332E" w:rsidP="00A56CA5">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606826" w:rsidRPr="00A56CA5">
        <w:rPr>
          <w:rFonts w:ascii="Times New Roman" w:hAnsi="Times New Roman" w:cs="Times New Roman"/>
          <w:color w:val="000000" w:themeColor="text1"/>
          <w:sz w:val="28"/>
          <w:szCs w:val="28"/>
        </w:rPr>
        <w:t>есмопрессин</w:t>
      </w:r>
      <w:r>
        <w:rPr>
          <w:rFonts w:ascii="Times New Roman" w:hAnsi="Times New Roman" w:cs="Times New Roman"/>
          <w:color w:val="000000" w:themeColor="text1"/>
          <w:sz w:val="28"/>
          <w:szCs w:val="28"/>
        </w:rPr>
        <w:t xml:space="preserve"> - а</w:t>
      </w:r>
      <w:r w:rsidR="00606826" w:rsidRPr="00A56CA5">
        <w:rPr>
          <w:rFonts w:ascii="Times New Roman" w:hAnsi="Times New Roman" w:cs="Times New Roman"/>
          <w:color w:val="000000" w:themeColor="text1"/>
          <w:sz w:val="28"/>
          <w:szCs w:val="28"/>
        </w:rPr>
        <w:t>налог вазопрессина сокращает время кровотечения при дефиците пула хранения.</w:t>
      </w:r>
    </w:p>
    <w:p w:rsidR="000A0064" w:rsidRPr="00A56CA5" w:rsidRDefault="00606826" w:rsidP="000A0064">
      <w:p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Десмопрессин можно вводить парентерально</w:t>
      </w:r>
      <w:r w:rsidR="000A0064">
        <w:rPr>
          <w:rFonts w:ascii="Times New Roman" w:hAnsi="Times New Roman" w:cs="Times New Roman"/>
          <w:color w:val="000000" w:themeColor="text1"/>
          <w:sz w:val="28"/>
          <w:szCs w:val="28"/>
        </w:rPr>
        <w:t xml:space="preserve">, внутривенно, подкожно </w:t>
      </w:r>
      <w:r w:rsidRPr="00A56CA5">
        <w:rPr>
          <w:rFonts w:ascii="Times New Roman" w:hAnsi="Times New Roman" w:cs="Times New Roman"/>
          <w:color w:val="000000" w:themeColor="text1"/>
          <w:sz w:val="28"/>
          <w:szCs w:val="28"/>
        </w:rPr>
        <w:t>или интраназально в виде капель</w:t>
      </w:r>
      <w:r w:rsidR="000A0064">
        <w:rPr>
          <w:rFonts w:ascii="Times New Roman" w:hAnsi="Times New Roman" w:cs="Times New Roman"/>
          <w:color w:val="000000" w:themeColor="text1"/>
          <w:sz w:val="28"/>
          <w:szCs w:val="28"/>
        </w:rPr>
        <w:t xml:space="preserve">, спрей. </w:t>
      </w:r>
      <w:r w:rsidRPr="00A56CA5">
        <w:rPr>
          <w:rFonts w:ascii="Times New Roman" w:hAnsi="Times New Roman" w:cs="Times New Roman"/>
          <w:color w:val="000000" w:themeColor="text1"/>
          <w:sz w:val="28"/>
          <w:szCs w:val="28"/>
        </w:rPr>
        <w:t xml:space="preserve">Рекомендуемая парентеральная доза составляет 0,3 мкг / кг массы тела, а интраназальная доза составляет 300 мкг. </w:t>
      </w:r>
    </w:p>
    <w:p w:rsidR="00606826" w:rsidRPr="00A56CA5" w:rsidRDefault="00606826" w:rsidP="000A0064">
      <w:p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Концентраты тромбоцитов</w:t>
      </w:r>
      <w:r w:rsidR="000A0064">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 xml:space="preserve">Общим показанием для переливания ПК является тромбоцитопеническое кровотечение из-за дефекта производства тромбоцитов или коагулопатии потребления / разведения. Кроме того, тяжелые кровотечения или отсутствие реакции на десмопрессин после операции или травмы оправдывают назначение ПК. </w:t>
      </w:r>
    </w:p>
    <w:p w:rsidR="00606826" w:rsidRPr="00A56CA5" w:rsidRDefault="00606826" w:rsidP="00A56CA5">
      <w:p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Рекомбинантный активированный фактор VIIa (rFVIIa)</w:t>
      </w:r>
      <w:r w:rsidR="000A0064">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rFVIIa (NovoSeven®, Novo Nordisk Inc., Bagsvaerd, Дания) часто используется у пациентов с тромбоцитопатией, страдающих от кровотечений, которые невозможно остановить обычными</w:t>
      </w:r>
      <w:r w:rsidR="00BB160D">
        <w:rPr>
          <w:rFonts w:ascii="Times New Roman" w:hAnsi="Times New Roman" w:cs="Times New Roman"/>
          <w:color w:val="000000" w:themeColor="text1"/>
          <w:sz w:val="28"/>
          <w:szCs w:val="28"/>
        </w:rPr>
        <w:t xml:space="preserve"> способами.</w:t>
      </w:r>
    </w:p>
    <w:p w:rsidR="00606826" w:rsidRPr="00A56CA5" w:rsidRDefault="00606826" w:rsidP="00A56CA5">
      <w:p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Трансплантация костного мозга</w:t>
      </w:r>
      <w:r w:rsidR="00BB160D">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 xml:space="preserve">С 1985 года только несколько пациентов с тяжелой формой GT, синдромом Вискотта-Олдрича или CHS </w:t>
      </w:r>
      <w:r w:rsidRPr="00A56CA5">
        <w:rPr>
          <w:rFonts w:ascii="Times New Roman" w:hAnsi="Times New Roman" w:cs="Times New Roman"/>
          <w:color w:val="000000" w:themeColor="text1"/>
          <w:sz w:val="28"/>
          <w:szCs w:val="28"/>
        </w:rPr>
        <w:lastRenderedPageBreak/>
        <w:t xml:space="preserve">перенесли </w:t>
      </w:r>
      <w:r w:rsidR="00BB160D">
        <w:rPr>
          <w:rFonts w:ascii="Times New Roman" w:hAnsi="Times New Roman" w:cs="Times New Roman"/>
          <w:color w:val="000000" w:themeColor="text1"/>
          <w:sz w:val="28"/>
          <w:szCs w:val="28"/>
        </w:rPr>
        <w:t>такую операцию</w:t>
      </w:r>
      <w:r w:rsidRPr="00A56CA5">
        <w:rPr>
          <w:rFonts w:ascii="Times New Roman" w:hAnsi="Times New Roman" w:cs="Times New Roman"/>
          <w:color w:val="000000" w:themeColor="text1"/>
          <w:sz w:val="28"/>
          <w:szCs w:val="28"/>
        </w:rPr>
        <w:t xml:space="preserve">, </w:t>
      </w:r>
      <w:r w:rsidR="00BB160D">
        <w:rPr>
          <w:rFonts w:ascii="Times New Roman" w:hAnsi="Times New Roman" w:cs="Times New Roman"/>
          <w:color w:val="000000" w:themeColor="text1"/>
          <w:sz w:val="28"/>
          <w:szCs w:val="28"/>
        </w:rPr>
        <w:t>результат которой -</w:t>
      </w:r>
      <w:r w:rsidRPr="00A56CA5">
        <w:rPr>
          <w:rFonts w:ascii="Times New Roman" w:hAnsi="Times New Roman" w:cs="Times New Roman"/>
          <w:color w:val="000000" w:themeColor="text1"/>
          <w:sz w:val="28"/>
          <w:szCs w:val="28"/>
        </w:rPr>
        <w:t xml:space="preserve"> нормализаци</w:t>
      </w:r>
      <w:r w:rsidR="00BB160D">
        <w:rPr>
          <w:rFonts w:ascii="Times New Roman" w:hAnsi="Times New Roman" w:cs="Times New Roman"/>
          <w:color w:val="000000" w:themeColor="text1"/>
          <w:sz w:val="28"/>
          <w:szCs w:val="28"/>
        </w:rPr>
        <w:t>я</w:t>
      </w:r>
      <w:r w:rsidRPr="00A56CA5">
        <w:rPr>
          <w:rFonts w:ascii="Times New Roman" w:hAnsi="Times New Roman" w:cs="Times New Roman"/>
          <w:color w:val="000000" w:themeColor="text1"/>
          <w:sz w:val="28"/>
          <w:szCs w:val="28"/>
        </w:rPr>
        <w:t xml:space="preserve"> функции тромбоцитов</w:t>
      </w:r>
      <w:r w:rsidR="00BB160D">
        <w:rPr>
          <w:rFonts w:ascii="Times New Roman" w:hAnsi="Times New Roman" w:cs="Times New Roman"/>
          <w:color w:val="000000" w:themeColor="text1"/>
          <w:sz w:val="28"/>
          <w:szCs w:val="28"/>
        </w:rPr>
        <w:t>.</w:t>
      </w:r>
    </w:p>
    <w:p w:rsidR="00606826" w:rsidRPr="00BB160D" w:rsidRDefault="00606826" w:rsidP="00A56CA5">
      <w:pPr>
        <w:ind w:firstLine="709"/>
        <w:rPr>
          <w:rFonts w:ascii="Times New Roman" w:hAnsi="Times New Roman" w:cs="Times New Roman"/>
          <w:b/>
          <w:color w:val="000000" w:themeColor="text1"/>
          <w:sz w:val="28"/>
          <w:szCs w:val="28"/>
        </w:rPr>
      </w:pPr>
      <w:r w:rsidRPr="00BB160D">
        <w:rPr>
          <w:rFonts w:ascii="Times New Roman" w:hAnsi="Times New Roman" w:cs="Times New Roman"/>
          <w:b/>
          <w:color w:val="000000" w:themeColor="text1"/>
          <w:sz w:val="28"/>
          <w:szCs w:val="28"/>
        </w:rPr>
        <w:t>Вывод</w:t>
      </w:r>
    </w:p>
    <w:p w:rsidR="00606826" w:rsidRPr="00A56CA5" w:rsidRDefault="00606826" w:rsidP="00A56CA5">
      <w:pPr>
        <w:ind w:firstLine="709"/>
        <w:rPr>
          <w:rFonts w:ascii="Times New Roman" w:hAnsi="Times New Roman" w:cs="Times New Roman"/>
          <w:color w:val="000000" w:themeColor="text1"/>
          <w:sz w:val="28"/>
          <w:szCs w:val="28"/>
        </w:rPr>
      </w:pPr>
      <w:r w:rsidRPr="00A56CA5">
        <w:rPr>
          <w:rFonts w:ascii="Times New Roman" w:hAnsi="Times New Roman" w:cs="Times New Roman"/>
          <w:color w:val="000000" w:themeColor="text1"/>
          <w:sz w:val="28"/>
          <w:szCs w:val="28"/>
        </w:rPr>
        <w:t xml:space="preserve">Унаследованные дефекты функции тромбоцитов </w:t>
      </w:r>
      <w:r w:rsidR="00BB160D">
        <w:rPr>
          <w:rFonts w:ascii="Times New Roman" w:hAnsi="Times New Roman" w:cs="Times New Roman"/>
          <w:color w:val="000000" w:themeColor="text1"/>
          <w:sz w:val="28"/>
          <w:szCs w:val="28"/>
        </w:rPr>
        <w:t>про</w:t>
      </w:r>
      <w:r w:rsidRPr="00A56CA5">
        <w:rPr>
          <w:rFonts w:ascii="Times New Roman" w:hAnsi="Times New Roman" w:cs="Times New Roman"/>
          <w:color w:val="000000" w:themeColor="text1"/>
          <w:sz w:val="28"/>
          <w:szCs w:val="28"/>
        </w:rPr>
        <w:t>являются гетерогенными</w:t>
      </w:r>
      <w:r w:rsidR="00BB160D">
        <w:rPr>
          <w:rFonts w:ascii="Times New Roman" w:hAnsi="Times New Roman" w:cs="Times New Roman"/>
          <w:color w:val="000000" w:themeColor="text1"/>
          <w:sz w:val="28"/>
          <w:szCs w:val="28"/>
        </w:rPr>
        <w:t xml:space="preserve"> редкими </w:t>
      </w:r>
      <w:r w:rsidRPr="00A56CA5">
        <w:rPr>
          <w:rFonts w:ascii="Times New Roman" w:hAnsi="Times New Roman" w:cs="Times New Roman"/>
          <w:color w:val="000000" w:themeColor="text1"/>
          <w:sz w:val="28"/>
          <w:szCs w:val="28"/>
        </w:rPr>
        <w:t xml:space="preserve"> кровотечени</w:t>
      </w:r>
      <w:r w:rsidR="00BB160D">
        <w:rPr>
          <w:rFonts w:ascii="Times New Roman" w:hAnsi="Times New Roman" w:cs="Times New Roman"/>
          <w:color w:val="000000" w:themeColor="text1"/>
          <w:sz w:val="28"/>
          <w:szCs w:val="28"/>
        </w:rPr>
        <w:t>ями</w:t>
      </w:r>
      <w:r w:rsidRPr="00A56CA5">
        <w:rPr>
          <w:rFonts w:ascii="Times New Roman" w:hAnsi="Times New Roman" w:cs="Times New Roman"/>
          <w:color w:val="000000" w:themeColor="text1"/>
          <w:sz w:val="28"/>
          <w:szCs w:val="28"/>
        </w:rPr>
        <w:t xml:space="preserve"> с симптомами, которые</w:t>
      </w:r>
      <w:r w:rsidR="00BB160D">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варьируют по степени тяжести от легкой до угрожающей жизни. Точн</w:t>
      </w:r>
      <w:r w:rsidR="00BB160D">
        <w:rPr>
          <w:rFonts w:ascii="Times New Roman" w:hAnsi="Times New Roman" w:cs="Times New Roman"/>
          <w:color w:val="000000" w:themeColor="text1"/>
          <w:sz w:val="28"/>
          <w:szCs w:val="28"/>
        </w:rPr>
        <w:t xml:space="preserve">ая </w:t>
      </w:r>
      <w:r w:rsidRPr="00A56CA5">
        <w:rPr>
          <w:rFonts w:ascii="Times New Roman" w:hAnsi="Times New Roman" w:cs="Times New Roman"/>
          <w:color w:val="000000" w:themeColor="text1"/>
          <w:sz w:val="28"/>
          <w:szCs w:val="28"/>
        </w:rPr>
        <w:t>диагностика дефекта функции тромбоцитов остается проблемой</w:t>
      </w:r>
      <w:r w:rsidR="00BB160D">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даже для специалистов. Несмотря на достижения в понимании</w:t>
      </w:r>
      <w:r w:rsidR="00BB160D">
        <w:rPr>
          <w:rFonts w:ascii="Times New Roman" w:hAnsi="Times New Roman" w:cs="Times New Roman"/>
          <w:color w:val="000000" w:themeColor="text1"/>
          <w:sz w:val="28"/>
          <w:szCs w:val="28"/>
        </w:rPr>
        <w:t xml:space="preserve"> э</w:t>
      </w:r>
      <w:r w:rsidRPr="00A56CA5">
        <w:rPr>
          <w:rFonts w:ascii="Times New Roman" w:hAnsi="Times New Roman" w:cs="Times New Roman"/>
          <w:color w:val="000000" w:themeColor="text1"/>
          <w:sz w:val="28"/>
          <w:szCs w:val="28"/>
        </w:rPr>
        <w:t>тиологи</w:t>
      </w:r>
      <w:r w:rsidR="00BB160D">
        <w:rPr>
          <w:rFonts w:ascii="Times New Roman" w:hAnsi="Times New Roman" w:cs="Times New Roman"/>
          <w:color w:val="000000" w:themeColor="text1"/>
          <w:sz w:val="28"/>
          <w:szCs w:val="28"/>
        </w:rPr>
        <w:t>и</w:t>
      </w:r>
      <w:r w:rsidRPr="00A56CA5">
        <w:rPr>
          <w:rFonts w:ascii="Times New Roman" w:hAnsi="Times New Roman" w:cs="Times New Roman"/>
          <w:color w:val="000000" w:themeColor="text1"/>
          <w:sz w:val="28"/>
          <w:szCs w:val="28"/>
        </w:rPr>
        <w:t xml:space="preserve"> этих дефектов, у подавляющего большинства пациентов с наследственными нарушениями тромбоцитов, основные механизмы</w:t>
      </w:r>
      <w:r w:rsidR="00BB160D">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остаются неизвестными. Лечение нарушений функции тромбоцитов</w:t>
      </w:r>
      <w:r w:rsidR="00BB160D">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будет зависеть от конкретного типа расстройства, а также</w:t>
      </w:r>
      <w:r w:rsidR="00BB160D">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тяжест</w:t>
      </w:r>
      <w:r w:rsidR="00BB160D">
        <w:rPr>
          <w:rFonts w:ascii="Times New Roman" w:hAnsi="Times New Roman" w:cs="Times New Roman"/>
          <w:color w:val="000000" w:themeColor="text1"/>
          <w:sz w:val="28"/>
          <w:szCs w:val="28"/>
        </w:rPr>
        <w:t>и</w:t>
      </w:r>
      <w:r w:rsidRPr="00A56CA5">
        <w:rPr>
          <w:rFonts w:ascii="Times New Roman" w:hAnsi="Times New Roman" w:cs="Times New Roman"/>
          <w:color w:val="000000" w:themeColor="text1"/>
          <w:sz w:val="28"/>
          <w:szCs w:val="28"/>
        </w:rPr>
        <w:t xml:space="preserve"> кровотечения. Переливание тромбоцитов остается</w:t>
      </w:r>
      <w:r w:rsidR="00BB160D">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первичн</w:t>
      </w:r>
      <w:r w:rsidR="00BB160D">
        <w:rPr>
          <w:rFonts w:ascii="Times New Roman" w:hAnsi="Times New Roman" w:cs="Times New Roman"/>
          <w:color w:val="000000" w:themeColor="text1"/>
          <w:sz w:val="28"/>
          <w:szCs w:val="28"/>
        </w:rPr>
        <w:t>ой</w:t>
      </w:r>
      <w:r w:rsidRPr="00A56CA5">
        <w:rPr>
          <w:rFonts w:ascii="Times New Roman" w:hAnsi="Times New Roman" w:cs="Times New Roman"/>
          <w:color w:val="000000" w:themeColor="text1"/>
          <w:sz w:val="28"/>
          <w:szCs w:val="28"/>
        </w:rPr>
        <w:t xml:space="preserve"> терапи</w:t>
      </w:r>
      <w:r w:rsidR="00BB160D">
        <w:rPr>
          <w:rFonts w:ascii="Times New Roman" w:hAnsi="Times New Roman" w:cs="Times New Roman"/>
          <w:color w:val="000000" w:themeColor="text1"/>
          <w:sz w:val="28"/>
          <w:szCs w:val="28"/>
        </w:rPr>
        <w:t>ей</w:t>
      </w:r>
      <w:r w:rsidRPr="00A56CA5">
        <w:rPr>
          <w:rFonts w:ascii="Times New Roman" w:hAnsi="Times New Roman" w:cs="Times New Roman"/>
          <w:color w:val="000000" w:themeColor="text1"/>
          <w:sz w:val="28"/>
          <w:szCs w:val="28"/>
        </w:rPr>
        <w:t xml:space="preserve"> сильного кровотечения. В качестве альтернативы</w:t>
      </w:r>
      <w:r w:rsidR="00BB160D">
        <w:rPr>
          <w:rFonts w:ascii="Times New Roman" w:hAnsi="Times New Roman" w:cs="Times New Roman"/>
          <w:color w:val="000000" w:themeColor="text1"/>
          <w:sz w:val="28"/>
          <w:szCs w:val="28"/>
        </w:rPr>
        <w:t xml:space="preserve"> </w:t>
      </w:r>
      <w:r w:rsidR="00BB160D" w:rsidRPr="00A56CA5">
        <w:rPr>
          <w:rFonts w:ascii="Times New Roman" w:hAnsi="Times New Roman" w:cs="Times New Roman"/>
          <w:color w:val="000000" w:themeColor="text1"/>
          <w:sz w:val="28"/>
          <w:szCs w:val="28"/>
        </w:rPr>
        <w:t>rFVIIa</w:t>
      </w:r>
      <w:r w:rsidR="00BB160D">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(90-120 мкг / кг болюсной инфузии). В отличие от рецепторных дефектов (GT), дефекты функции тромбоцитов (пул хранения) можно лечить десмопрессином (0,3 мкг / кг тела)</w:t>
      </w:r>
      <w:r w:rsidR="00BB160D">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внутривенно или в случае легкого кровотечения с помощью спрея Octostim® (Ferring) и / или циклокапрона (транексамовая кислота</w:t>
      </w:r>
      <w:r w:rsidR="00BB160D">
        <w:rPr>
          <w:rFonts w:ascii="Times New Roman" w:hAnsi="Times New Roman" w:cs="Times New Roman"/>
          <w:color w:val="000000" w:themeColor="text1"/>
          <w:sz w:val="28"/>
          <w:szCs w:val="28"/>
        </w:rPr>
        <w:t xml:space="preserve"> </w:t>
      </w:r>
      <w:r w:rsidRPr="00A56CA5">
        <w:rPr>
          <w:rFonts w:ascii="Times New Roman" w:hAnsi="Times New Roman" w:cs="Times New Roman"/>
          <w:color w:val="000000" w:themeColor="text1"/>
          <w:sz w:val="28"/>
          <w:szCs w:val="28"/>
        </w:rPr>
        <w:t>20 мг перорально).</w:t>
      </w: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BB160D" w:rsidRDefault="00BB160D" w:rsidP="00A56CA5">
      <w:pPr>
        <w:pStyle w:val="Standard"/>
        <w:spacing w:before="113" w:line="360" w:lineRule="auto"/>
        <w:ind w:firstLine="709"/>
        <w:jc w:val="both"/>
        <w:rPr>
          <w:rFonts w:cs="Times New Roman"/>
          <w:b/>
          <w:bCs/>
          <w:color w:val="000000" w:themeColor="text1"/>
          <w:sz w:val="28"/>
          <w:szCs w:val="28"/>
          <w:lang w:val="ru-RU"/>
        </w:rPr>
      </w:pPr>
    </w:p>
    <w:p w:rsidR="00D5379D" w:rsidRPr="00A56CA5" w:rsidRDefault="00D5379D" w:rsidP="00A56CA5">
      <w:pPr>
        <w:pStyle w:val="Standard"/>
        <w:spacing w:before="113" w:line="360" w:lineRule="auto"/>
        <w:ind w:firstLine="709"/>
        <w:jc w:val="both"/>
        <w:rPr>
          <w:rFonts w:cs="Times New Roman"/>
          <w:color w:val="000000" w:themeColor="text1"/>
          <w:sz w:val="28"/>
          <w:szCs w:val="28"/>
          <w:lang w:val="ru-RU"/>
        </w:rPr>
      </w:pPr>
      <w:r w:rsidRPr="00A56CA5">
        <w:rPr>
          <w:rFonts w:cs="Times New Roman"/>
          <w:b/>
          <w:bCs/>
          <w:color w:val="000000" w:themeColor="text1"/>
          <w:sz w:val="28"/>
          <w:szCs w:val="28"/>
          <w:lang w:val="ru-RU"/>
        </w:rPr>
        <w:lastRenderedPageBreak/>
        <w:t>Список литературы</w:t>
      </w:r>
    </w:p>
    <w:p w:rsidR="00703087" w:rsidRPr="00BB160D" w:rsidRDefault="00D5379D" w:rsidP="00BB160D">
      <w:pPr>
        <w:pStyle w:val="a4"/>
        <w:numPr>
          <w:ilvl w:val="0"/>
          <w:numId w:val="5"/>
        </w:numPr>
        <w:rPr>
          <w:rFonts w:ascii="Times New Roman" w:hAnsi="Times New Roman" w:cs="Times New Roman"/>
          <w:color w:val="000000" w:themeColor="text1"/>
          <w:sz w:val="28"/>
          <w:szCs w:val="28"/>
        </w:rPr>
      </w:pPr>
      <w:r w:rsidRPr="00BB160D">
        <w:rPr>
          <w:rFonts w:ascii="Times New Roman" w:hAnsi="Times New Roman" w:cs="Times New Roman"/>
          <w:color w:val="000000" w:themeColor="text1"/>
          <w:sz w:val="28"/>
          <w:szCs w:val="28"/>
        </w:rPr>
        <w:t xml:space="preserve">Дёмина И. А., Кумскова М. А., Пантелеев М. А. Тромбоцитопатии // РЖДГиО. 2015. №1. </w:t>
      </w:r>
    </w:p>
    <w:p w:rsidR="00D5379D" w:rsidRPr="00E921DB" w:rsidRDefault="00FB4252" w:rsidP="00BB160D">
      <w:pPr>
        <w:pStyle w:val="a4"/>
        <w:numPr>
          <w:ilvl w:val="0"/>
          <w:numId w:val="5"/>
        </w:numPr>
        <w:rPr>
          <w:rFonts w:ascii="Times New Roman" w:hAnsi="Times New Roman" w:cs="Times New Roman"/>
          <w:color w:val="000000" w:themeColor="text1"/>
          <w:sz w:val="28"/>
          <w:szCs w:val="28"/>
          <w:lang w:val="en-US"/>
        </w:rPr>
      </w:pPr>
      <w:r w:rsidRPr="00BB160D">
        <w:rPr>
          <w:rFonts w:ascii="Times New Roman" w:hAnsi="Times New Roman" w:cs="Times New Roman"/>
          <w:color w:val="000000" w:themeColor="text1"/>
          <w:sz w:val="28"/>
          <w:szCs w:val="28"/>
          <w:lang w:val="en-US"/>
        </w:rPr>
        <w:t>Diagnosis and Treatment of Inherited Platelet Disorders Presented to Atlanta ISTH Advanced Training Course Tuesday, November 1, 2016</w:t>
      </w:r>
      <w:r w:rsidR="00F62058" w:rsidRPr="00BB160D">
        <w:rPr>
          <w:rFonts w:ascii="Times New Roman" w:hAnsi="Times New Roman" w:cs="Times New Roman"/>
          <w:color w:val="000000" w:themeColor="text1"/>
          <w:sz w:val="28"/>
          <w:szCs w:val="28"/>
          <w:lang w:val="en-US"/>
        </w:rPr>
        <w:t xml:space="preserve"> </w:t>
      </w:r>
      <w:hyperlink r:id="rId8" w:history="1">
        <w:r w:rsidR="00F62058" w:rsidRPr="00BB160D">
          <w:rPr>
            <w:rStyle w:val="a5"/>
            <w:rFonts w:ascii="Times New Roman" w:hAnsi="Times New Roman" w:cs="Times New Roman"/>
            <w:color w:val="000000" w:themeColor="text1"/>
            <w:sz w:val="28"/>
            <w:szCs w:val="28"/>
            <w:lang w:val="en-US"/>
          </w:rPr>
          <w:t>https://cdn.ymaws.com/www.isth.org/resource/resmgr/atc/atlanta/P1_Lambert.pdf</w:t>
        </w:r>
      </w:hyperlink>
    </w:p>
    <w:p w:rsidR="00F62058" w:rsidRPr="00BB160D" w:rsidRDefault="00F62058" w:rsidP="00BB160D">
      <w:pPr>
        <w:pStyle w:val="a4"/>
        <w:numPr>
          <w:ilvl w:val="0"/>
          <w:numId w:val="5"/>
        </w:numPr>
        <w:rPr>
          <w:rFonts w:ascii="Times New Roman" w:hAnsi="Times New Roman" w:cs="Times New Roman"/>
          <w:color w:val="000000" w:themeColor="text1"/>
          <w:sz w:val="28"/>
          <w:szCs w:val="28"/>
          <w:shd w:val="clear" w:color="auto" w:fill="FFFFFF"/>
        </w:rPr>
      </w:pPr>
      <w:r w:rsidRPr="00BB160D">
        <w:rPr>
          <w:rFonts w:ascii="Times New Roman" w:hAnsi="Times New Roman" w:cs="Times New Roman"/>
          <w:color w:val="000000" w:themeColor="text1"/>
          <w:sz w:val="28"/>
          <w:szCs w:val="28"/>
          <w:shd w:val="clear" w:color="auto" w:fill="FFFFFF"/>
        </w:rPr>
        <w:t>Нурден А.Т., Нурден П. Следует ли</w:t>
      </w:r>
      <w:r w:rsidRPr="00BB160D">
        <w:rPr>
          <w:rFonts w:ascii="Times New Roman" w:hAnsi="Times New Roman" w:cs="Times New Roman"/>
          <w:color w:val="000000" w:themeColor="text1"/>
          <w:sz w:val="28"/>
          <w:szCs w:val="28"/>
        </w:rPr>
        <w:br/>
      </w:r>
      <w:r w:rsidRPr="00BB160D">
        <w:rPr>
          <w:rFonts w:ascii="Times New Roman" w:hAnsi="Times New Roman" w:cs="Times New Roman"/>
          <w:color w:val="000000" w:themeColor="text1"/>
          <w:sz w:val="28"/>
          <w:szCs w:val="28"/>
          <w:shd w:val="clear" w:color="auto" w:fill="FFFFFF"/>
        </w:rPr>
        <w:t>классифицировать генетический дефект, влияющий на альфа- гранулы в тромбоцитах, как синдром серого тромбоцита? </w:t>
      </w:r>
      <w:r w:rsidRPr="00BB160D">
        <w:rPr>
          <w:rStyle w:val="a6"/>
          <w:rFonts w:ascii="Times New Roman" w:hAnsi="Times New Roman" w:cs="Times New Roman"/>
          <w:color w:val="000000" w:themeColor="text1"/>
          <w:sz w:val="28"/>
          <w:szCs w:val="28"/>
          <w:shd w:val="clear" w:color="auto" w:fill="FFFFFF"/>
        </w:rPr>
        <w:t>Am J Hematol</w:t>
      </w:r>
      <w:r w:rsidRPr="00BB160D">
        <w:rPr>
          <w:rFonts w:ascii="Times New Roman" w:hAnsi="Times New Roman" w:cs="Times New Roman"/>
          <w:color w:val="000000" w:themeColor="text1"/>
          <w:sz w:val="28"/>
          <w:szCs w:val="28"/>
          <w:shd w:val="clear" w:color="auto" w:fill="FFFFFF"/>
        </w:rPr>
        <w:t> . 2016; 91 (7): 714-718.</w:t>
      </w:r>
    </w:p>
    <w:p w:rsidR="00F62058" w:rsidRPr="00BB160D" w:rsidRDefault="00F62058" w:rsidP="00BB160D">
      <w:pPr>
        <w:pStyle w:val="a4"/>
        <w:numPr>
          <w:ilvl w:val="0"/>
          <w:numId w:val="5"/>
        </w:numPr>
        <w:rPr>
          <w:rFonts w:ascii="Times New Roman" w:hAnsi="Times New Roman" w:cs="Times New Roman"/>
          <w:color w:val="000000" w:themeColor="text1"/>
          <w:sz w:val="28"/>
          <w:szCs w:val="28"/>
          <w:shd w:val="clear" w:color="auto" w:fill="FFFFFF"/>
          <w:lang w:val="en-US"/>
        </w:rPr>
      </w:pPr>
      <w:r w:rsidRPr="00BB160D">
        <w:rPr>
          <w:rFonts w:ascii="Times New Roman" w:hAnsi="Times New Roman" w:cs="Times New Roman"/>
          <w:color w:val="000000" w:themeColor="text1"/>
          <w:sz w:val="28"/>
          <w:szCs w:val="28"/>
          <w:shd w:val="clear" w:color="auto" w:fill="FFFFFF"/>
        </w:rPr>
        <w:t>Орсини С., Норис П., Бери Л. и др. Риск кровотечения при хирургическом вмешательстве и его профилактика у пациентов с наследственными нарушениями тромбоцитов. </w:t>
      </w:r>
      <w:r w:rsidRPr="00BB160D">
        <w:rPr>
          <w:rStyle w:val="a6"/>
          <w:rFonts w:ascii="Times New Roman" w:hAnsi="Times New Roman" w:cs="Times New Roman"/>
          <w:color w:val="000000" w:themeColor="text1"/>
          <w:sz w:val="28"/>
          <w:szCs w:val="28"/>
          <w:shd w:val="clear" w:color="auto" w:fill="FFFFFF"/>
          <w:lang w:val="en-US"/>
        </w:rPr>
        <w:t>Haematologica</w:t>
      </w:r>
      <w:r w:rsidRPr="00BB160D">
        <w:rPr>
          <w:rFonts w:ascii="Times New Roman" w:hAnsi="Times New Roman" w:cs="Times New Roman"/>
          <w:color w:val="000000" w:themeColor="text1"/>
          <w:sz w:val="28"/>
          <w:szCs w:val="28"/>
          <w:shd w:val="clear" w:color="auto" w:fill="FFFFFF"/>
          <w:lang w:val="en-US"/>
        </w:rPr>
        <w:t> . 2017; 102 (7): 1192-1203.</w:t>
      </w:r>
    </w:p>
    <w:p w:rsidR="00F62058" w:rsidRPr="00BB160D" w:rsidRDefault="00153AAC" w:rsidP="00BB160D">
      <w:pPr>
        <w:pStyle w:val="a4"/>
        <w:numPr>
          <w:ilvl w:val="0"/>
          <w:numId w:val="5"/>
        </w:numPr>
        <w:rPr>
          <w:rFonts w:ascii="Times New Roman" w:hAnsi="Times New Roman" w:cs="Times New Roman"/>
          <w:color w:val="000000" w:themeColor="text1"/>
          <w:sz w:val="28"/>
          <w:szCs w:val="28"/>
          <w:shd w:val="clear" w:color="auto" w:fill="FFFFFF"/>
          <w:lang w:val="en-US"/>
        </w:rPr>
      </w:pPr>
      <w:hyperlink r:id="rId9" w:history="1">
        <w:r w:rsidR="00F62058" w:rsidRPr="00BB160D">
          <w:rPr>
            <w:rFonts w:ascii="Times New Roman" w:hAnsi="Times New Roman" w:cs="Times New Roman"/>
            <w:color w:val="000000" w:themeColor="text1"/>
            <w:sz w:val="28"/>
            <w:szCs w:val="28"/>
            <w:shd w:val="clear" w:color="auto" w:fill="FFFFFF"/>
            <w:lang w:val="en-US"/>
          </w:rPr>
          <w:t>Juliana Perez Botero</w:t>
        </w:r>
      </w:hyperlink>
      <w:r w:rsidR="00F62058" w:rsidRPr="00BB160D">
        <w:rPr>
          <w:rFonts w:ascii="Times New Roman" w:hAnsi="Times New Roman" w:cs="Times New Roman"/>
          <w:color w:val="000000" w:themeColor="text1"/>
          <w:sz w:val="28"/>
          <w:szCs w:val="28"/>
          <w:shd w:val="clear" w:color="auto" w:fill="FFFFFF"/>
          <w:lang w:val="en-US"/>
        </w:rPr>
        <w:t>. Diagnostic considerations with inherited platelet disorder testing. Jan 25th, 2018.</w:t>
      </w:r>
    </w:p>
    <w:p w:rsidR="00F62058" w:rsidRPr="00BB160D" w:rsidRDefault="00F62058" w:rsidP="00BB160D">
      <w:pPr>
        <w:pStyle w:val="a4"/>
        <w:numPr>
          <w:ilvl w:val="0"/>
          <w:numId w:val="5"/>
        </w:numPr>
        <w:rPr>
          <w:rFonts w:ascii="Times New Roman" w:hAnsi="Times New Roman" w:cs="Times New Roman"/>
          <w:color w:val="000000" w:themeColor="text1"/>
          <w:sz w:val="28"/>
          <w:szCs w:val="28"/>
          <w:shd w:val="clear" w:color="auto" w:fill="FFFFFF"/>
          <w:lang w:val="en-US"/>
        </w:rPr>
      </w:pPr>
      <w:r w:rsidRPr="00BB160D">
        <w:rPr>
          <w:rFonts w:ascii="Times New Roman" w:eastAsia="Times New Roman" w:hAnsi="Times New Roman" w:cs="Times New Roman"/>
          <w:color w:val="000000" w:themeColor="text1"/>
          <w:sz w:val="28"/>
          <w:szCs w:val="28"/>
          <w:lang w:val="en-US"/>
        </w:rPr>
        <w:t>The Editors of Encyclopaedia Britannica</w:t>
      </w:r>
      <w:r w:rsidRPr="00BB160D">
        <w:rPr>
          <w:rFonts w:ascii="Times New Roman" w:hAnsi="Times New Roman" w:cs="Times New Roman"/>
          <w:color w:val="000000" w:themeColor="text1"/>
          <w:sz w:val="28"/>
          <w:szCs w:val="28"/>
          <w:shd w:val="clear" w:color="auto" w:fill="FFFFFF"/>
          <w:lang w:val="en-US"/>
        </w:rPr>
        <w:t xml:space="preserve">. </w:t>
      </w:r>
      <w:r w:rsidRPr="00BB160D">
        <w:rPr>
          <w:rFonts w:ascii="Times New Roman" w:eastAsia="Times New Roman" w:hAnsi="Times New Roman" w:cs="Times New Roman"/>
          <w:color w:val="000000" w:themeColor="text1"/>
          <w:sz w:val="28"/>
          <w:szCs w:val="28"/>
          <w:lang w:val="en-US"/>
        </w:rPr>
        <w:t>Thrombocytopathy</w:t>
      </w:r>
      <w:r w:rsidRPr="00BB160D">
        <w:rPr>
          <w:rFonts w:ascii="Times New Roman" w:hAnsi="Times New Roman" w:cs="Times New Roman"/>
          <w:color w:val="000000" w:themeColor="text1"/>
          <w:sz w:val="28"/>
          <w:szCs w:val="28"/>
          <w:shd w:val="clear" w:color="auto" w:fill="FFFFFF"/>
          <w:lang w:val="en-US"/>
        </w:rPr>
        <w:t xml:space="preserve">. </w:t>
      </w:r>
      <w:r w:rsidRPr="00BB160D">
        <w:rPr>
          <w:rFonts w:ascii="Times New Roman" w:eastAsia="Times New Roman" w:hAnsi="Times New Roman" w:cs="Times New Roman"/>
          <w:color w:val="000000" w:themeColor="text1"/>
          <w:sz w:val="28"/>
          <w:szCs w:val="28"/>
          <w:lang w:val="en-US"/>
        </w:rPr>
        <w:t>Encyclopædia Britannica, inc</w:t>
      </w:r>
      <w:r w:rsidRPr="00E921DB">
        <w:rPr>
          <w:rFonts w:ascii="Times New Roman" w:eastAsia="Times New Roman" w:hAnsi="Times New Roman" w:cs="Times New Roman"/>
          <w:color w:val="000000" w:themeColor="text1"/>
          <w:sz w:val="28"/>
          <w:szCs w:val="28"/>
          <w:lang w:val="en-US"/>
        </w:rPr>
        <w:t xml:space="preserve">. </w:t>
      </w:r>
      <w:r w:rsidRPr="00BB160D">
        <w:rPr>
          <w:rFonts w:ascii="Times New Roman" w:eastAsia="Times New Roman" w:hAnsi="Times New Roman" w:cs="Times New Roman"/>
          <w:color w:val="000000" w:themeColor="text1"/>
          <w:sz w:val="28"/>
          <w:szCs w:val="28"/>
          <w:lang w:val="en-US"/>
        </w:rPr>
        <w:t>July 07, 2017</w:t>
      </w:r>
    </w:p>
    <w:p w:rsidR="00F62058" w:rsidRPr="00F62058" w:rsidRDefault="00F62058" w:rsidP="00A56CA5">
      <w:pPr>
        <w:ind w:firstLine="709"/>
        <w:rPr>
          <w:rFonts w:ascii="Times New Roman" w:hAnsi="Times New Roman" w:cs="Times New Roman"/>
          <w:color w:val="000000" w:themeColor="text1"/>
          <w:sz w:val="28"/>
          <w:szCs w:val="28"/>
          <w:shd w:val="clear" w:color="auto" w:fill="FFFFFF"/>
          <w:lang w:val="en-US"/>
        </w:rPr>
      </w:pPr>
    </w:p>
    <w:p w:rsidR="00F62058" w:rsidRPr="00E921DB" w:rsidRDefault="00F62058" w:rsidP="00A56CA5">
      <w:pPr>
        <w:ind w:firstLine="709"/>
        <w:rPr>
          <w:rFonts w:ascii="Times New Roman" w:hAnsi="Times New Roman" w:cs="Times New Roman"/>
          <w:color w:val="000000" w:themeColor="text1"/>
          <w:sz w:val="28"/>
          <w:szCs w:val="28"/>
          <w:lang w:val="en-US"/>
        </w:rPr>
      </w:pPr>
    </w:p>
    <w:p w:rsidR="00E921DB" w:rsidRPr="004B6F2A" w:rsidRDefault="00E921DB" w:rsidP="00A56CA5">
      <w:pPr>
        <w:ind w:firstLine="709"/>
        <w:rPr>
          <w:rFonts w:ascii="Times New Roman" w:hAnsi="Times New Roman" w:cs="Times New Roman"/>
          <w:color w:val="000000" w:themeColor="text1"/>
          <w:sz w:val="28"/>
          <w:szCs w:val="28"/>
          <w:lang w:val="en-US"/>
        </w:rPr>
      </w:pPr>
    </w:p>
    <w:p w:rsidR="00E921DB" w:rsidRPr="004B6F2A" w:rsidRDefault="00E921DB" w:rsidP="00A56CA5">
      <w:pPr>
        <w:ind w:firstLine="709"/>
        <w:rPr>
          <w:rFonts w:ascii="Times New Roman" w:hAnsi="Times New Roman" w:cs="Times New Roman"/>
          <w:color w:val="000000" w:themeColor="text1"/>
          <w:sz w:val="28"/>
          <w:szCs w:val="28"/>
          <w:lang w:val="en-US"/>
        </w:rPr>
      </w:pPr>
    </w:p>
    <w:p w:rsidR="00E921DB" w:rsidRPr="004B6F2A" w:rsidRDefault="00E921DB" w:rsidP="00A56CA5">
      <w:pPr>
        <w:ind w:firstLine="709"/>
        <w:rPr>
          <w:rFonts w:ascii="Times New Roman" w:hAnsi="Times New Roman" w:cs="Times New Roman"/>
          <w:color w:val="000000" w:themeColor="text1"/>
          <w:sz w:val="28"/>
          <w:szCs w:val="28"/>
          <w:lang w:val="en-US"/>
        </w:rPr>
      </w:pPr>
    </w:p>
    <w:p w:rsidR="00E921DB" w:rsidRPr="004B6F2A" w:rsidRDefault="00E921DB" w:rsidP="00A56CA5">
      <w:pPr>
        <w:ind w:firstLine="709"/>
        <w:rPr>
          <w:rFonts w:ascii="Times New Roman" w:hAnsi="Times New Roman" w:cs="Times New Roman"/>
          <w:color w:val="000000" w:themeColor="text1"/>
          <w:sz w:val="28"/>
          <w:szCs w:val="28"/>
          <w:lang w:val="en-US"/>
        </w:rPr>
      </w:pPr>
    </w:p>
    <w:p w:rsidR="00E921DB" w:rsidRPr="004B6F2A" w:rsidRDefault="00E921DB" w:rsidP="00A56CA5">
      <w:pPr>
        <w:ind w:firstLine="709"/>
        <w:rPr>
          <w:rFonts w:ascii="Times New Roman" w:hAnsi="Times New Roman" w:cs="Times New Roman"/>
          <w:color w:val="000000" w:themeColor="text1"/>
          <w:sz w:val="28"/>
          <w:szCs w:val="28"/>
          <w:lang w:val="en-US"/>
        </w:rPr>
      </w:pPr>
    </w:p>
    <w:p w:rsidR="00E921DB" w:rsidRPr="004B6F2A" w:rsidRDefault="00E921DB" w:rsidP="00A56CA5">
      <w:pPr>
        <w:ind w:firstLine="709"/>
        <w:rPr>
          <w:rFonts w:ascii="Times New Roman" w:hAnsi="Times New Roman" w:cs="Times New Roman"/>
          <w:color w:val="000000" w:themeColor="text1"/>
          <w:sz w:val="28"/>
          <w:szCs w:val="28"/>
          <w:lang w:val="en-US"/>
        </w:rPr>
      </w:pPr>
    </w:p>
    <w:p w:rsidR="00E921DB" w:rsidRPr="004B6F2A" w:rsidRDefault="00E921DB" w:rsidP="00A56CA5">
      <w:pPr>
        <w:ind w:firstLine="709"/>
        <w:rPr>
          <w:rFonts w:ascii="Times New Roman" w:hAnsi="Times New Roman" w:cs="Times New Roman"/>
          <w:color w:val="000000" w:themeColor="text1"/>
          <w:sz w:val="28"/>
          <w:szCs w:val="28"/>
          <w:lang w:val="en-US"/>
        </w:rPr>
      </w:pPr>
    </w:p>
    <w:p w:rsidR="00E921DB" w:rsidRPr="004B6F2A" w:rsidRDefault="00E921DB" w:rsidP="00A56CA5">
      <w:pPr>
        <w:ind w:firstLine="709"/>
        <w:rPr>
          <w:rFonts w:ascii="Times New Roman" w:hAnsi="Times New Roman" w:cs="Times New Roman"/>
          <w:color w:val="000000" w:themeColor="text1"/>
          <w:sz w:val="28"/>
          <w:szCs w:val="28"/>
          <w:lang w:val="en-US"/>
        </w:rPr>
      </w:pPr>
    </w:p>
    <w:p w:rsidR="00E921DB" w:rsidRPr="004B6F2A" w:rsidRDefault="00E921DB" w:rsidP="00A56CA5">
      <w:pPr>
        <w:ind w:firstLine="709"/>
        <w:rPr>
          <w:rFonts w:ascii="Times New Roman" w:hAnsi="Times New Roman" w:cs="Times New Roman"/>
          <w:color w:val="000000" w:themeColor="text1"/>
          <w:sz w:val="28"/>
          <w:szCs w:val="28"/>
          <w:lang w:val="en-US"/>
        </w:rPr>
      </w:pPr>
    </w:p>
    <w:p w:rsidR="00E921DB" w:rsidRPr="004B6F2A" w:rsidRDefault="00E921DB" w:rsidP="00A56CA5">
      <w:pPr>
        <w:ind w:firstLine="709"/>
        <w:rPr>
          <w:rFonts w:ascii="Times New Roman" w:hAnsi="Times New Roman" w:cs="Times New Roman"/>
          <w:color w:val="000000" w:themeColor="text1"/>
          <w:sz w:val="28"/>
          <w:szCs w:val="28"/>
          <w:lang w:val="en-US"/>
        </w:rPr>
      </w:pPr>
    </w:p>
    <w:p w:rsidR="00E921DB" w:rsidRDefault="00E921DB" w:rsidP="00E921DB">
      <w:pPr>
        <w:jc w:val="center"/>
        <w:rPr>
          <w:rFonts w:ascii="Times New Roman" w:hAnsi="Times New Roman" w:cs="Times New Roman"/>
          <w:color w:val="424242"/>
          <w:shd w:val="clear" w:color="auto" w:fill="FFFFFF"/>
        </w:rPr>
      </w:pPr>
      <w:r>
        <w:rPr>
          <w:rFonts w:ascii="Times New Roman" w:hAnsi="Times New Roman" w:cs="Times New Roman"/>
          <w:color w:val="424242"/>
          <w:shd w:val="clear" w:color="auto" w:fill="FFFFFF"/>
        </w:rPr>
        <w:lastRenderedPageBreak/>
        <w:t>Ф</w:t>
      </w:r>
      <w:r w:rsidRPr="00D41389">
        <w:rPr>
          <w:rFonts w:ascii="Times New Roman" w:hAnsi="Times New Roman" w:cs="Times New Roman"/>
          <w:color w:val="424242"/>
          <w:shd w:val="clear" w:color="auto" w:fill="FFFFFF"/>
        </w:rPr>
        <w:t>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E921DB" w:rsidRDefault="00E921DB" w:rsidP="00E921DB">
      <w:pPr>
        <w:jc w:val="center"/>
        <w:rPr>
          <w:rFonts w:ascii="Times New Roman" w:hAnsi="Times New Roman" w:cs="Times New Roman"/>
          <w:b/>
          <w:color w:val="424242"/>
          <w:shd w:val="clear" w:color="auto" w:fill="FFFFFF"/>
        </w:rPr>
      </w:pPr>
      <w:r w:rsidRPr="00D41389">
        <w:rPr>
          <w:rFonts w:ascii="Times New Roman" w:hAnsi="Times New Roman" w:cs="Times New Roman"/>
          <w:b/>
          <w:color w:val="424242"/>
          <w:shd w:val="clear" w:color="auto" w:fill="FFFFFF"/>
        </w:rPr>
        <w:t>РЕЦЕНЗИЯ НА РЕФЕРАТ</w:t>
      </w:r>
    </w:p>
    <w:p w:rsidR="00E921DB" w:rsidRDefault="00E921DB" w:rsidP="00E921DB">
      <w:pPr>
        <w:spacing w:after="0" w:line="240" w:lineRule="auto"/>
        <w:jc w:val="center"/>
        <w:rPr>
          <w:rFonts w:ascii="Times New Roman" w:hAnsi="Times New Roman" w:cs="Times New Roman"/>
          <w:b/>
          <w:color w:val="424242"/>
          <w:shd w:val="clear" w:color="auto" w:fill="FFFFFF"/>
        </w:rPr>
      </w:pPr>
      <w:r>
        <w:rPr>
          <w:rFonts w:ascii="Times New Roman" w:hAnsi="Times New Roman" w:cs="Times New Roman"/>
          <w:b/>
          <w:color w:val="424242"/>
          <w:shd w:val="clear" w:color="auto" w:fill="FFFFFF"/>
        </w:rPr>
        <w:t>Кафедра _____________________________________________________________</w:t>
      </w:r>
    </w:p>
    <w:p w:rsidR="00E921DB" w:rsidRPr="00D41389" w:rsidRDefault="00E921DB" w:rsidP="00E921DB">
      <w:pPr>
        <w:spacing w:after="0" w:line="240" w:lineRule="auto"/>
        <w:jc w:val="center"/>
        <w:rPr>
          <w:rFonts w:ascii="Times New Roman" w:hAnsi="Times New Roman" w:cs="Times New Roman"/>
          <w:b/>
          <w:color w:val="424242"/>
          <w:shd w:val="clear" w:color="auto" w:fill="FFFFFF"/>
          <w:vertAlign w:val="superscript"/>
        </w:rPr>
      </w:pPr>
      <w:r w:rsidRPr="00D41389">
        <w:rPr>
          <w:rFonts w:ascii="Times New Roman" w:hAnsi="Times New Roman" w:cs="Times New Roman"/>
          <w:b/>
          <w:color w:val="424242"/>
          <w:shd w:val="clear" w:color="auto" w:fill="FFFFFF"/>
          <w:vertAlign w:val="superscript"/>
        </w:rPr>
        <w:t>(</w:t>
      </w:r>
      <w:r>
        <w:rPr>
          <w:rFonts w:ascii="Times New Roman" w:hAnsi="Times New Roman" w:cs="Times New Roman"/>
          <w:b/>
          <w:color w:val="424242"/>
          <w:shd w:val="clear" w:color="auto" w:fill="FFFFFF"/>
          <w:vertAlign w:val="superscript"/>
        </w:rPr>
        <w:t>наименование кафедры</w:t>
      </w:r>
      <w:r w:rsidRPr="00D41389">
        <w:rPr>
          <w:rFonts w:ascii="Times New Roman" w:hAnsi="Times New Roman" w:cs="Times New Roman"/>
          <w:b/>
          <w:color w:val="424242"/>
          <w:shd w:val="clear" w:color="auto" w:fill="FFFFFF"/>
          <w:vertAlign w:val="superscript"/>
        </w:rPr>
        <w:t>)</w:t>
      </w:r>
    </w:p>
    <w:p w:rsidR="00E921DB" w:rsidRDefault="00E921DB" w:rsidP="00E921DB">
      <w:pPr>
        <w:spacing w:after="0" w:line="240" w:lineRule="auto"/>
        <w:jc w:val="center"/>
        <w:rPr>
          <w:rFonts w:ascii="Times New Roman" w:hAnsi="Times New Roman" w:cs="Times New Roman"/>
          <w:b/>
          <w:color w:val="424242"/>
          <w:shd w:val="clear" w:color="auto" w:fill="FFFFFF"/>
        </w:rPr>
      </w:pPr>
      <w:r>
        <w:rPr>
          <w:rFonts w:ascii="Times New Roman" w:hAnsi="Times New Roman" w:cs="Times New Roman"/>
          <w:b/>
          <w:color w:val="424242"/>
          <w:shd w:val="clear" w:color="auto" w:fill="FFFFFF"/>
        </w:rPr>
        <w:t>Рецензия______________________________________________________________</w:t>
      </w:r>
    </w:p>
    <w:p w:rsidR="00E921DB" w:rsidRPr="00D41389" w:rsidRDefault="00E921DB" w:rsidP="00E921DB">
      <w:pPr>
        <w:spacing w:after="0" w:line="240" w:lineRule="auto"/>
        <w:jc w:val="center"/>
        <w:rPr>
          <w:rFonts w:ascii="Times New Roman" w:hAnsi="Times New Roman" w:cs="Times New Roman"/>
          <w:b/>
          <w:vertAlign w:val="superscript"/>
        </w:rPr>
      </w:pPr>
      <w:r>
        <w:rPr>
          <w:rFonts w:ascii="Times New Roman" w:hAnsi="Times New Roman" w:cs="Times New Roman"/>
          <w:b/>
          <w:vertAlign w:val="superscript"/>
        </w:rPr>
        <w:t>(ФИО, ученая степень, должность рецензента)</w:t>
      </w:r>
    </w:p>
    <w:p w:rsidR="00E921DB" w:rsidRDefault="00E921DB" w:rsidP="00E921DB">
      <w:pPr>
        <w:spacing w:after="0" w:line="240" w:lineRule="auto"/>
        <w:jc w:val="both"/>
        <w:rPr>
          <w:rFonts w:ascii="Times New Roman" w:hAnsi="Times New Roman" w:cs="Times New Roman"/>
          <w:b/>
        </w:rPr>
      </w:pPr>
      <w:r>
        <w:rPr>
          <w:rFonts w:ascii="Times New Roman" w:hAnsi="Times New Roman" w:cs="Times New Roman"/>
          <w:b/>
        </w:rPr>
        <w:t>на реферат ординатора ____________года обучения по специальности___________________</w:t>
      </w:r>
    </w:p>
    <w:p w:rsidR="00E921DB" w:rsidRDefault="00E921DB" w:rsidP="00E921DB">
      <w:pPr>
        <w:spacing w:after="0" w:line="240" w:lineRule="auto"/>
        <w:jc w:val="both"/>
        <w:rPr>
          <w:rFonts w:ascii="Times New Roman" w:hAnsi="Times New Roman" w:cs="Times New Roman"/>
          <w:b/>
        </w:rPr>
      </w:pPr>
      <w:r>
        <w:rPr>
          <w:rFonts w:ascii="Times New Roman" w:hAnsi="Times New Roman" w:cs="Times New Roman"/>
          <w:b/>
        </w:rPr>
        <w:t>__________________________________________________________________________________</w:t>
      </w:r>
    </w:p>
    <w:p w:rsidR="00E921DB" w:rsidRPr="007E6A7E" w:rsidRDefault="00E921DB" w:rsidP="00E921DB">
      <w:pPr>
        <w:spacing w:after="0" w:line="240" w:lineRule="auto"/>
        <w:jc w:val="center"/>
        <w:rPr>
          <w:rFonts w:ascii="Times New Roman" w:hAnsi="Times New Roman" w:cs="Times New Roman"/>
          <w:b/>
          <w:vertAlign w:val="superscript"/>
        </w:rPr>
      </w:pPr>
      <w:r>
        <w:rPr>
          <w:rFonts w:ascii="Times New Roman" w:hAnsi="Times New Roman" w:cs="Times New Roman"/>
          <w:b/>
          <w:vertAlign w:val="superscript"/>
        </w:rPr>
        <w:t>(ФИО ординатора)</w:t>
      </w:r>
    </w:p>
    <w:p w:rsidR="00E921DB" w:rsidRDefault="00E921DB" w:rsidP="00E921DB">
      <w:pPr>
        <w:spacing w:after="0" w:line="240" w:lineRule="auto"/>
        <w:rPr>
          <w:rFonts w:ascii="Times New Roman" w:hAnsi="Times New Roman" w:cs="Times New Roman"/>
          <w:b/>
        </w:rPr>
      </w:pPr>
      <w:r>
        <w:rPr>
          <w:rFonts w:ascii="Times New Roman" w:hAnsi="Times New Roman" w:cs="Times New Roman"/>
          <w:b/>
        </w:rPr>
        <w:t>Тема реферата_______________________________________________________________________</w:t>
      </w:r>
    </w:p>
    <w:p w:rsidR="00E921DB" w:rsidRDefault="00E921DB" w:rsidP="00E921DB">
      <w:pPr>
        <w:spacing w:after="0"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921DB" w:rsidRDefault="00E921DB" w:rsidP="00E921DB">
      <w:pPr>
        <w:spacing w:after="0" w:line="240" w:lineRule="auto"/>
        <w:rPr>
          <w:rFonts w:ascii="Times New Roman" w:hAnsi="Times New Roman" w:cs="Times New Roman"/>
          <w:b/>
        </w:rPr>
      </w:pPr>
    </w:p>
    <w:p w:rsidR="00E921DB" w:rsidRDefault="00E921DB" w:rsidP="00E921DB">
      <w:pPr>
        <w:spacing w:after="0" w:line="240" w:lineRule="auto"/>
        <w:jc w:val="both"/>
        <w:rPr>
          <w:rFonts w:ascii="Times New Roman" w:hAnsi="Times New Roman" w:cs="Times New Roman"/>
          <w:b/>
        </w:rPr>
      </w:pPr>
      <w:r>
        <w:rPr>
          <w:rFonts w:ascii="Times New Roman" w:hAnsi="Times New Roman" w:cs="Times New Roman"/>
          <w:b/>
        </w:rPr>
        <w:t>Основные оценочные критерии</w:t>
      </w:r>
    </w:p>
    <w:tbl>
      <w:tblPr>
        <w:tblStyle w:val="ac"/>
        <w:tblW w:w="0" w:type="auto"/>
        <w:tblLayout w:type="fixed"/>
        <w:tblLook w:val="04A0"/>
      </w:tblPr>
      <w:tblGrid>
        <w:gridCol w:w="675"/>
        <w:gridCol w:w="5416"/>
        <w:gridCol w:w="3480"/>
      </w:tblGrid>
      <w:tr w:rsidR="00E921DB" w:rsidTr="00494D11">
        <w:tc>
          <w:tcPr>
            <w:tcW w:w="675" w:type="dxa"/>
          </w:tcPr>
          <w:p w:rsidR="00E921DB" w:rsidRDefault="00E921DB" w:rsidP="00494D11">
            <w:pPr>
              <w:jc w:val="center"/>
              <w:rPr>
                <w:rFonts w:ascii="Times New Roman" w:hAnsi="Times New Roman" w:cs="Times New Roman"/>
                <w:b/>
              </w:rPr>
            </w:pPr>
            <w:r>
              <w:rPr>
                <w:rFonts w:ascii="Times New Roman" w:hAnsi="Times New Roman" w:cs="Times New Roman"/>
                <w:b/>
              </w:rPr>
              <w:t>№</w:t>
            </w:r>
          </w:p>
        </w:tc>
        <w:tc>
          <w:tcPr>
            <w:tcW w:w="5416" w:type="dxa"/>
          </w:tcPr>
          <w:p w:rsidR="00E921DB" w:rsidRDefault="00E921DB" w:rsidP="00494D11">
            <w:pPr>
              <w:jc w:val="center"/>
              <w:rPr>
                <w:rFonts w:ascii="Times New Roman" w:hAnsi="Times New Roman" w:cs="Times New Roman"/>
                <w:b/>
              </w:rPr>
            </w:pPr>
            <w:r>
              <w:rPr>
                <w:rFonts w:ascii="Times New Roman" w:hAnsi="Times New Roman" w:cs="Times New Roman"/>
                <w:b/>
              </w:rPr>
              <w:t>Оценочный критерий</w:t>
            </w:r>
          </w:p>
        </w:tc>
        <w:tc>
          <w:tcPr>
            <w:tcW w:w="3480" w:type="dxa"/>
          </w:tcPr>
          <w:p w:rsidR="00E921DB" w:rsidRDefault="00E921DB" w:rsidP="00494D11">
            <w:pPr>
              <w:jc w:val="center"/>
              <w:rPr>
                <w:rFonts w:ascii="Times New Roman" w:hAnsi="Times New Roman" w:cs="Times New Roman"/>
                <w:b/>
              </w:rPr>
            </w:pPr>
            <w:r>
              <w:rPr>
                <w:rFonts w:ascii="Times New Roman" w:hAnsi="Times New Roman" w:cs="Times New Roman"/>
                <w:b/>
              </w:rPr>
              <w:t>положительный/отрицательный</w:t>
            </w:r>
          </w:p>
        </w:tc>
      </w:tr>
      <w:tr w:rsidR="00E921DB" w:rsidTr="00494D11">
        <w:tc>
          <w:tcPr>
            <w:tcW w:w="675" w:type="dxa"/>
          </w:tcPr>
          <w:p w:rsidR="00E921DB" w:rsidRPr="007E6A7E" w:rsidRDefault="00E921DB" w:rsidP="00E921DB">
            <w:pPr>
              <w:pStyle w:val="a4"/>
              <w:numPr>
                <w:ilvl w:val="0"/>
                <w:numId w:val="6"/>
              </w:numPr>
              <w:jc w:val="both"/>
              <w:rPr>
                <w:rFonts w:ascii="Times New Roman" w:hAnsi="Times New Roman" w:cs="Times New Roman"/>
                <w:b/>
              </w:rPr>
            </w:pPr>
          </w:p>
        </w:tc>
        <w:tc>
          <w:tcPr>
            <w:tcW w:w="5416" w:type="dxa"/>
          </w:tcPr>
          <w:p w:rsidR="00E921DB" w:rsidRPr="007E6A7E" w:rsidRDefault="00E921DB" w:rsidP="00494D11">
            <w:pPr>
              <w:jc w:val="both"/>
              <w:rPr>
                <w:rFonts w:ascii="Times New Roman" w:hAnsi="Times New Roman" w:cs="Times New Roman"/>
              </w:rPr>
            </w:pPr>
            <w:r>
              <w:rPr>
                <w:rFonts w:ascii="Times New Roman" w:hAnsi="Times New Roman" w:cs="Times New Roman"/>
              </w:rPr>
              <w:t>Структурированность</w:t>
            </w:r>
          </w:p>
        </w:tc>
        <w:tc>
          <w:tcPr>
            <w:tcW w:w="3480" w:type="dxa"/>
          </w:tcPr>
          <w:p w:rsidR="00E921DB" w:rsidRDefault="00E921DB" w:rsidP="00494D11">
            <w:pPr>
              <w:jc w:val="both"/>
              <w:rPr>
                <w:rFonts w:ascii="Times New Roman" w:hAnsi="Times New Roman" w:cs="Times New Roman"/>
                <w:b/>
              </w:rPr>
            </w:pPr>
          </w:p>
        </w:tc>
      </w:tr>
      <w:tr w:rsidR="00E921DB" w:rsidTr="00494D11">
        <w:tc>
          <w:tcPr>
            <w:tcW w:w="675" w:type="dxa"/>
          </w:tcPr>
          <w:p w:rsidR="00E921DB" w:rsidRPr="007E6A7E" w:rsidRDefault="00E921DB" w:rsidP="00E921DB">
            <w:pPr>
              <w:pStyle w:val="a4"/>
              <w:numPr>
                <w:ilvl w:val="0"/>
                <w:numId w:val="6"/>
              </w:numPr>
              <w:jc w:val="both"/>
              <w:rPr>
                <w:rFonts w:ascii="Times New Roman" w:hAnsi="Times New Roman" w:cs="Times New Roman"/>
                <w:b/>
              </w:rPr>
            </w:pPr>
          </w:p>
        </w:tc>
        <w:tc>
          <w:tcPr>
            <w:tcW w:w="5416" w:type="dxa"/>
          </w:tcPr>
          <w:p w:rsidR="00E921DB" w:rsidRDefault="00E921DB" w:rsidP="00494D11">
            <w:pPr>
              <w:jc w:val="both"/>
              <w:rPr>
                <w:rFonts w:ascii="Times New Roman" w:hAnsi="Times New Roman" w:cs="Times New Roman"/>
              </w:rPr>
            </w:pPr>
            <w:r w:rsidRPr="007E6A7E">
              <w:rPr>
                <w:rFonts w:ascii="Times New Roman" w:hAnsi="Times New Roman" w:cs="Times New Roman"/>
              </w:rPr>
              <w:t>Актуальность</w:t>
            </w:r>
          </w:p>
        </w:tc>
        <w:tc>
          <w:tcPr>
            <w:tcW w:w="3480" w:type="dxa"/>
          </w:tcPr>
          <w:p w:rsidR="00E921DB" w:rsidRDefault="00E921DB" w:rsidP="00494D11">
            <w:pPr>
              <w:jc w:val="both"/>
              <w:rPr>
                <w:rFonts w:ascii="Times New Roman" w:hAnsi="Times New Roman" w:cs="Times New Roman"/>
                <w:b/>
              </w:rPr>
            </w:pPr>
          </w:p>
        </w:tc>
      </w:tr>
      <w:tr w:rsidR="00E921DB" w:rsidTr="00494D11">
        <w:tc>
          <w:tcPr>
            <w:tcW w:w="675" w:type="dxa"/>
          </w:tcPr>
          <w:p w:rsidR="00E921DB" w:rsidRPr="007E6A7E" w:rsidRDefault="00E921DB" w:rsidP="00E921DB">
            <w:pPr>
              <w:pStyle w:val="a4"/>
              <w:numPr>
                <w:ilvl w:val="0"/>
                <w:numId w:val="6"/>
              </w:numPr>
              <w:jc w:val="both"/>
              <w:rPr>
                <w:rFonts w:ascii="Times New Roman" w:hAnsi="Times New Roman" w:cs="Times New Roman"/>
                <w:b/>
              </w:rPr>
            </w:pPr>
          </w:p>
        </w:tc>
        <w:tc>
          <w:tcPr>
            <w:tcW w:w="5416" w:type="dxa"/>
          </w:tcPr>
          <w:p w:rsidR="00E921DB" w:rsidRPr="007E6A7E" w:rsidRDefault="00E921DB" w:rsidP="00494D11">
            <w:pPr>
              <w:jc w:val="both"/>
              <w:rPr>
                <w:rFonts w:ascii="Times New Roman" w:hAnsi="Times New Roman" w:cs="Times New Roman"/>
              </w:rPr>
            </w:pPr>
            <w:r>
              <w:rPr>
                <w:rFonts w:ascii="Times New Roman" w:hAnsi="Times New Roman" w:cs="Times New Roman"/>
              </w:rPr>
              <w:t>Соответствие текста реферата его теме</w:t>
            </w:r>
          </w:p>
        </w:tc>
        <w:tc>
          <w:tcPr>
            <w:tcW w:w="3480" w:type="dxa"/>
          </w:tcPr>
          <w:p w:rsidR="00E921DB" w:rsidRDefault="00E921DB" w:rsidP="00494D11">
            <w:pPr>
              <w:jc w:val="both"/>
              <w:rPr>
                <w:rFonts w:ascii="Times New Roman" w:hAnsi="Times New Roman" w:cs="Times New Roman"/>
                <w:b/>
              </w:rPr>
            </w:pPr>
          </w:p>
        </w:tc>
      </w:tr>
      <w:tr w:rsidR="00E921DB" w:rsidTr="00494D11">
        <w:tc>
          <w:tcPr>
            <w:tcW w:w="675" w:type="dxa"/>
          </w:tcPr>
          <w:p w:rsidR="00E921DB" w:rsidRPr="007E6A7E" w:rsidRDefault="00E921DB" w:rsidP="00E921DB">
            <w:pPr>
              <w:pStyle w:val="a4"/>
              <w:numPr>
                <w:ilvl w:val="0"/>
                <w:numId w:val="6"/>
              </w:numPr>
              <w:jc w:val="both"/>
              <w:rPr>
                <w:rFonts w:ascii="Times New Roman" w:hAnsi="Times New Roman" w:cs="Times New Roman"/>
                <w:b/>
              </w:rPr>
            </w:pPr>
          </w:p>
        </w:tc>
        <w:tc>
          <w:tcPr>
            <w:tcW w:w="5416" w:type="dxa"/>
          </w:tcPr>
          <w:p w:rsidR="00E921DB" w:rsidRPr="007E6A7E" w:rsidRDefault="00E921DB" w:rsidP="00494D11">
            <w:pPr>
              <w:jc w:val="both"/>
              <w:rPr>
                <w:rFonts w:ascii="Times New Roman" w:hAnsi="Times New Roman" w:cs="Times New Roman"/>
              </w:rPr>
            </w:pPr>
            <w:r>
              <w:rPr>
                <w:rFonts w:ascii="Times New Roman" w:hAnsi="Times New Roman" w:cs="Times New Roman"/>
              </w:rPr>
              <w:t xml:space="preserve">Владение терминологией </w:t>
            </w:r>
          </w:p>
        </w:tc>
        <w:tc>
          <w:tcPr>
            <w:tcW w:w="3480" w:type="dxa"/>
          </w:tcPr>
          <w:p w:rsidR="00E921DB" w:rsidRDefault="00E921DB" w:rsidP="00494D11">
            <w:pPr>
              <w:jc w:val="both"/>
              <w:rPr>
                <w:rFonts w:ascii="Times New Roman" w:hAnsi="Times New Roman" w:cs="Times New Roman"/>
                <w:b/>
              </w:rPr>
            </w:pPr>
          </w:p>
        </w:tc>
      </w:tr>
      <w:tr w:rsidR="00E921DB" w:rsidTr="00494D11">
        <w:tc>
          <w:tcPr>
            <w:tcW w:w="675" w:type="dxa"/>
          </w:tcPr>
          <w:p w:rsidR="00E921DB" w:rsidRPr="007E6A7E" w:rsidRDefault="00E921DB" w:rsidP="00E921DB">
            <w:pPr>
              <w:pStyle w:val="a4"/>
              <w:numPr>
                <w:ilvl w:val="0"/>
                <w:numId w:val="6"/>
              </w:numPr>
              <w:jc w:val="both"/>
              <w:rPr>
                <w:rFonts w:ascii="Times New Roman" w:hAnsi="Times New Roman" w:cs="Times New Roman"/>
                <w:b/>
              </w:rPr>
            </w:pPr>
          </w:p>
        </w:tc>
        <w:tc>
          <w:tcPr>
            <w:tcW w:w="5416" w:type="dxa"/>
          </w:tcPr>
          <w:p w:rsidR="00E921DB" w:rsidRPr="007E6A7E" w:rsidRDefault="00E921DB" w:rsidP="00494D11">
            <w:pPr>
              <w:jc w:val="both"/>
              <w:rPr>
                <w:rFonts w:ascii="Times New Roman" w:hAnsi="Times New Roman" w:cs="Times New Roman"/>
              </w:rPr>
            </w:pPr>
            <w:r>
              <w:rPr>
                <w:rFonts w:ascii="Times New Roman" w:hAnsi="Times New Roman" w:cs="Times New Roman"/>
              </w:rPr>
              <w:t>Полнота и глубина раскрытия основных понятий темы</w:t>
            </w:r>
          </w:p>
        </w:tc>
        <w:tc>
          <w:tcPr>
            <w:tcW w:w="3480" w:type="dxa"/>
          </w:tcPr>
          <w:p w:rsidR="00E921DB" w:rsidRDefault="00E921DB" w:rsidP="00494D11">
            <w:pPr>
              <w:jc w:val="both"/>
              <w:rPr>
                <w:rFonts w:ascii="Times New Roman" w:hAnsi="Times New Roman" w:cs="Times New Roman"/>
                <w:b/>
              </w:rPr>
            </w:pPr>
          </w:p>
        </w:tc>
      </w:tr>
      <w:tr w:rsidR="00E921DB" w:rsidTr="00494D11">
        <w:tc>
          <w:tcPr>
            <w:tcW w:w="675" w:type="dxa"/>
          </w:tcPr>
          <w:p w:rsidR="00E921DB" w:rsidRPr="007E6A7E" w:rsidRDefault="00E921DB" w:rsidP="00E921DB">
            <w:pPr>
              <w:pStyle w:val="a4"/>
              <w:numPr>
                <w:ilvl w:val="0"/>
                <w:numId w:val="6"/>
              </w:numPr>
              <w:jc w:val="both"/>
              <w:rPr>
                <w:rFonts w:ascii="Times New Roman" w:hAnsi="Times New Roman" w:cs="Times New Roman"/>
                <w:b/>
              </w:rPr>
            </w:pPr>
          </w:p>
        </w:tc>
        <w:tc>
          <w:tcPr>
            <w:tcW w:w="5416" w:type="dxa"/>
          </w:tcPr>
          <w:p w:rsidR="00E921DB" w:rsidRDefault="00E921DB" w:rsidP="00494D11">
            <w:pPr>
              <w:jc w:val="both"/>
              <w:rPr>
                <w:rFonts w:ascii="Times New Roman" w:hAnsi="Times New Roman" w:cs="Times New Roman"/>
              </w:rPr>
            </w:pPr>
            <w:r>
              <w:rPr>
                <w:rFonts w:ascii="Times New Roman" w:hAnsi="Times New Roman" w:cs="Times New Roman"/>
              </w:rPr>
              <w:t>Логичность доказательной базы</w:t>
            </w:r>
          </w:p>
        </w:tc>
        <w:tc>
          <w:tcPr>
            <w:tcW w:w="3480" w:type="dxa"/>
          </w:tcPr>
          <w:p w:rsidR="00E921DB" w:rsidRDefault="00E921DB" w:rsidP="00494D11">
            <w:pPr>
              <w:jc w:val="both"/>
              <w:rPr>
                <w:rFonts w:ascii="Times New Roman" w:hAnsi="Times New Roman" w:cs="Times New Roman"/>
                <w:b/>
              </w:rPr>
            </w:pPr>
          </w:p>
        </w:tc>
      </w:tr>
      <w:tr w:rsidR="00E921DB" w:rsidTr="00494D11">
        <w:tc>
          <w:tcPr>
            <w:tcW w:w="675" w:type="dxa"/>
          </w:tcPr>
          <w:p w:rsidR="00E921DB" w:rsidRPr="007E6A7E" w:rsidRDefault="00E921DB" w:rsidP="00E921DB">
            <w:pPr>
              <w:pStyle w:val="a4"/>
              <w:numPr>
                <w:ilvl w:val="0"/>
                <w:numId w:val="6"/>
              </w:numPr>
              <w:jc w:val="both"/>
              <w:rPr>
                <w:rFonts w:ascii="Times New Roman" w:hAnsi="Times New Roman" w:cs="Times New Roman"/>
                <w:b/>
              </w:rPr>
            </w:pPr>
          </w:p>
        </w:tc>
        <w:tc>
          <w:tcPr>
            <w:tcW w:w="5416" w:type="dxa"/>
          </w:tcPr>
          <w:p w:rsidR="00E921DB" w:rsidRDefault="00E921DB" w:rsidP="00494D11">
            <w:pPr>
              <w:jc w:val="both"/>
              <w:rPr>
                <w:rFonts w:ascii="Times New Roman" w:hAnsi="Times New Roman" w:cs="Times New Roman"/>
              </w:rPr>
            </w:pPr>
            <w:r>
              <w:rPr>
                <w:rFonts w:ascii="Times New Roman" w:hAnsi="Times New Roman" w:cs="Times New Roman"/>
              </w:rPr>
              <w:t>Умение аргументировать основные положения и выводы</w:t>
            </w:r>
          </w:p>
        </w:tc>
        <w:tc>
          <w:tcPr>
            <w:tcW w:w="3480" w:type="dxa"/>
          </w:tcPr>
          <w:p w:rsidR="00E921DB" w:rsidRDefault="00E921DB" w:rsidP="00494D11">
            <w:pPr>
              <w:jc w:val="both"/>
              <w:rPr>
                <w:rFonts w:ascii="Times New Roman" w:hAnsi="Times New Roman" w:cs="Times New Roman"/>
                <w:b/>
              </w:rPr>
            </w:pPr>
          </w:p>
        </w:tc>
      </w:tr>
      <w:tr w:rsidR="00E921DB" w:rsidTr="00494D11">
        <w:tc>
          <w:tcPr>
            <w:tcW w:w="675" w:type="dxa"/>
          </w:tcPr>
          <w:p w:rsidR="00E921DB" w:rsidRPr="007E6A7E" w:rsidRDefault="00E921DB" w:rsidP="00E921DB">
            <w:pPr>
              <w:pStyle w:val="a4"/>
              <w:numPr>
                <w:ilvl w:val="0"/>
                <w:numId w:val="6"/>
              </w:numPr>
              <w:jc w:val="both"/>
              <w:rPr>
                <w:rFonts w:ascii="Times New Roman" w:hAnsi="Times New Roman" w:cs="Times New Roman"/>
                <w:b/>
              </w:rPr>
            </w:pPr>
          </w:p>
        </w:tc>
        <w:tc>
          <w:tcPr>
            <w:tcW w:w="5416" w:type="dxa"/>
          </w:tcPr>
          <w:p w:rsidR="00E921DB" w:rsidRDefault="00E921DB" w:rsidP="00494D11">
            <w:pPr>
              <w:jc w:val="both"/>
              <w:rPr>
                <w:rFonts w:ascii="Times New Roman" w:hAnsi="Times New Roman" w:cs="Times New Roman"/>
              </w:rPr>
            </w:pPr>
            <w:r>
              <w:rPr>
                <w:rFonts w:ascii="Times New Roman" w:hAnsi="Times New Roman" w:cs="Times New Roman"/>
              </w:rPr>
              <w:t xml:space="preserve">Источники литературы (не старше 5 лет) </w:t>
            </w:r>
          </w:p>
        </w:tc>
        <w:tc>
          <w:tcPr>
            <w:tcW w:w="3480" w:type="dxa"/>
          </w:tcPr>
          <w:p w:rsidR="00E921DB" w:rsidRDefault="00E921DB" w:rsidP="00494D11">
            <w:pPr>
              <w:jc w:val="both"/>
              <w:rPr>
                <w:rFonts w:ascii="Times New Roman" w:hAnsi="Times New Roman" w:cs="Times New Roman"/>
                <w:b/>
              </w:rPr>
            </w:pPr>
          </w:p>
        </w:tc>
      </w:tr>
      <w:tr w:rsidR="00E921DB" w:rsidTr="00494D11">
        <w:tc>
          <w:tcPr>
            <w:tcW w:w="675" w:type="dxa"/>
          </w:tcPr>
          <w:p w:rsidR="00E921DB" w:rsidRPr="007E6A7E" w:rsidRDefault="00E921DB" w:rsidP="00E921DB">
            <w:pPr>
              <w:pStyle w:val="a4"/>
              <w:numPr>
                <w:ilvl w:val="0"/>
                <w:numId w:val="6"/>
              </w:numPr>
              <w:jc w:val="both"/>
              <w:rPr>
                <w:rFonts w:ascii="Times New Roman" w:hAnsi="Times New Roman" w:cs="Times New Roman"/>
                <w:b/>
              </w:rPr>
            </w:pPr>
          </w:p>
        </w:tc>
        <w:tc>
          <w:tcPr>
            <w:tcW w:w="5416" w:type="dxa"/>
          </w:tcPr>
          <w:p w:rsidR="00E921DB" w:rsidRDefault="00E921DB" w:rsidP="00494D11">
            <w:pPr>
              <w:jc w:val="both"/>
              <w:rPr>
                <w:rFonts w:ascii="Times New Roman" w:hAnsi="Times New Roman" w:cs="Times New Roman"/>
              </w:rPr>
            </w:pPr>
            <w:r>
              <w:rPr>
                <w:rFonts w:ascii="Times New Roman" w:hAnsi="Times New Roman" w:cs="Times New Roman"/>
              </w:rPr>
              <w:t xml:space="preserve">Наличие общего вывода по теме </w:t>
            </w:r>
          </w:p>
        </w:tc>
        <w:tc>
          <w:tcPr>
            <w:tcW w:w="3480" w:type="dxa"/>
          </w:tcPr>
          <w:p w:rsidR="00E921DB" w:rsidRDefault="00E921DB" w:rsidP="00494D11">
            <w:pPr>
              <w:jc w:val="both"/>
              <w:rPr>
                <w:rFonts w:ascii="Times New Roman" w:hAnsi="Times New Roman" w:cs="Times New Roman"/>
                <w:b/>
              </w:rPr>
            </w:pPr>
          </w:p>
        </w:tc>
      </w:tr>
      <w:tr w:rsidR="00E921DB" w:rsidTr="00494D11">
        <w:tc>
          <w:tcPr>
            <w:tcW w:w="675" w:type="dxa"/>
          </w:tcPr>
          <w:p w:rsidR="00E921DB" w:rsidRPr="007E6A7E" w:rsidRDefault="00E921DB" w:rsidP="00E921DB">
            <w:pPr>
              <w:pStyle w:val="a4"/>
              <w:numPr>
                <w:ilvl w:val="0"/>
                <w:numId w:val="6"/>
              </w:numPr>
              <w:jc w:val="both"/>
              <w:rPr>
                <w:rFonts w:ascii="Times New Roman" w:hAnsi="Times New Roman" w:cs="Times New Roman"/>
                <w:b/>
              </w:rPr>
            </w:pPr>
          </w:p>
        </w:tc>
        <w:tc>
          <w:tcPr>
            <w:tcW w:w="5416" w:type="dxa"/>
          </w:tcPr>
          <w:p w:rsidR="00E921DB" w:rsidRDefault="00E921DB" w:rsidP="00494D11">
            <w:pPr>
              <w:jc w:val="both"/>
              <w:rPr>
                <w:rFonts w:ascii="Times New Roman" w:hAnsi="Times New Roman" w:cs="Times New Roman"/>
              </w:rPr>
            </w:pPr>
            <w:r w:rsidRPr="00E32A4F">
              <w:rPr>
                <w:rFonts w:ascii="Times New Roman" w:hAnsi="Times New Roman" w:cs="Times New Roman"/>
                <w:b/>
              </w:rPr>
              <w:t>Итоговая оценка</w:t>
            </w:r>
          </w:p>
        </w:tc>
        <w:tc>
          <w:tcPr>
            <w:tcW w:w="3480" w:type="dxa"/>
          </w:tcPr>
          <w:p w:rsidR="00E921DB" w:rsidRDefault="00E921DB" w:rsidP="00494D11">
            <w:pPr>
              <w:jc w:val="both"/>
              <w:rPr>
                <w:rFonts w:ascii="Times New Roman" w:hAnsi="Times New Roman" w:cs="Times New Roman"/>
                <w:b/>
              </w:rPr>
            </w:pPr>
          </w:p>
        </w:tc>
      </w:tr>
    </w:tbl>
    <w:p w:rsidR="00E921DB" w:rsidRDefault="00E921DB" w:rsidP="00E921DB">
      <w:pPr>
        <w:spacing w:after="0" w:line="240" w:lineRule="auto"/>
        <w:jc w:val="both"/>
        <w:rPr>
          <w:rFonts w:ascii="Times New Roman" w:hAnsi="Times New Roman" w:cs="Times New Roman"/>
          <w:b/>
        </w:rPr>
      </w:pPr>
    </w:p>
    <w:p w:rsidR="00E921DB" w:rsidRDefault="00E921DB" w:rsidP="00E921DB">
      <w:pPr>
        <w:spacing w:after="0" w:line="240" w:lineRule="auto"/>
        <w:jc w:val="both"/>
        <w:rPr>
          <w:rFonts w:ascii="Times New Roman" w:hAnsi="Times New Roman" w:cs="Times New Roman"/>
          <w:b/>
        </w:rPr>
      </w:pPr>
    </w:p>
    <w:p w:rsidR="00E921DB" w:rsidRPr="00E32A4F" w:rsidRDefault="00E921DB" w:rsidP="00E921DB">
      <w:pPr>
        <w:spacing w:after="0" w:line="240" w:lineRule="auto"/>
        <w:jc w:val="both"/>
        <w:rPr>
          <w:rFonts w:ascii="Times New Roman" w:hAnsi="Times New Roman" w:cs="Times New Roman"/>
        </w:rPr>
      </w:pPr>
      <w:r w:rsidRPr="00E32A4F">
        <w:rPr>
          <w:rFonts w:ascii="Times New Roman" w:hAnsi="Times New Roman" w:cs="Times New Roman"/>
        </w:rPr>
        <w:t>Дата: «___»___________20_____год</w:t>
      </w:r>
    </w:p>
    <w:p w:rsidR="00E921DB" w:rsidRDefault="00E921DB" w:rsidP="00E921DB">
      <w:pPr>
        <w:spacing w:after="0" w:line="240" w:lineRule="auto"/>
        <w:jc w:val="both"/>
        <w:rPr>
          <w:rFonts w:ascii="Times New Roman" w:hAnsi="Times New Roman" w:cs="Times New Roman"/>
          <w:b/>
        </w:rPr>
      </w:pPr>
    </w:p>
    <w:p w:rsidR="00E921DB" w:rsidRDefault="00E921DB" w:rsidP="00E921DB">
      <w:pPr>
        <w:spacing w:after="0" w:line="240" w:lineRule="auto"/>
        <w:jc w:val="both"/>
        <w:rPr>
          <w:rFonts w:ascii="Times New Roman" w:hAnsi="Times New Roman" w:cs="Times New Roman"/>
          <w:b/>
        </w:rPr>
      </w:pPr>
      <w:r>
        <w:rPr>
          <w:rFonts w:ascii="Times New Roman" w:hAnsi="Times New Roman" w:cs="Times New Roman"/>
          <w:b/>
        </w:rPr>
        <w:t>Подпись рецензента</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____________________</w:t>
      </w:r>
    </w:p>
    <w:p w:rsidR="00E921DB" w:rsidRDefault="00E921DB" w:rsidP="00E921DB">
      <w:pPr>
        <w:spacing w:after="0" w:line="240" w:lineRule="auto"/>
        <w:jc w:val="both"/>
        <w:rPr>
          <w:rFonts w:ascii="Times New Roman" w:hAnsi="Times New Roman" w:cs="Times New Roman"/>
          <w:b/>
          <w:vertAlign w:val="superscript"/>
        </w:rPr>
      </w:pP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t>(подпись)</w:t>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t>(ФИО рецензента)</w:t>
      </w:r>
    </w:p>
    <w:p w:rsidR="00E921DB" w:rsidRDefault="00E921DB" w:rsidP="00E921DB">
      <w:pPr>
        <w:spacing w:after="0" w:line="240" w:lineRule="auto"/>
        <w:jc w:val="both"/>
        <w:rPr>
          <w:rFonts w:ascii="Times New Roman" w:hAnsi="Times New Roman" w:cs="Times New Roman"/>
          <w:b/>
        </w:rPr>
      </w:pPr>
    </w:p>
    <w:p w:rsidR="00E921DB" w:rsidRDefault="00E921DB" w:rsidP="00E921DB">
      <w:pPr>
        <w:spacing w:after="0" w:line="240" w:lineRule="auto"/>
        <w:jc w:val="both"/>
        <w:rPr>
          <w:rFonts w:ascii="Times New Roman" w:hAnsi="Times New Roman" w:cs="Times New Roman"/>
          <w:b/>
        </w:rPr>
      </w:pPr>
      <w:r>
        <w:rPr>
          <w:rFonts w:ascii="Times New Roman" w:hAnsi="Times New Roman" w:cs="Times New Roman"/>
          <w:b/>
        </w:rPr>
        <w:t>Подпись ординатора</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____________________</w:t>
      </w:r>
    </w:p>
    <w:p w:rsidR="00E921DB" w:rsidRPr="00E32A4F" w:rsidRDefault="00E921DB" w:rsidP="00E921DB">
      <w:pPr>
        <w:spacing w:after="0" w:line="240" w:lineRule="auto"/>
        <w:jc w:val="both"/>
        <w:rPr>
          <w:rFonts w:ascii="Times New Roman" w:hAnsi="Times New Roman" w:cs="Times New Roman"/>
          <w:b/>
          <w:vertAlign w:val="superscript"/>
        </w:rPr>
      </w:pP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t>(подпись)</w:t>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t>(ФИО ординатора)</w:t>
      </w:r>
    </w:p>
    <w:p w:rsidR="00E921DB" w:rsidRPr="00E32A4F" w:rsidRDefault="00E921DB" w:rsidP="00E921DB">
      <w:pPr>
        <w:spacing w:after="0" w:line="240" w:lineRule="auto"/>
        <w:jc w:val="both"/>
        <w:rPr>
          <w:rFonts w:ascii="Times New Roman" w:hAnsi="Times New Roman" w:cs="Times New Roman"/>
          <w:b/>
        </w:rPr>
      </w:pPr>
      <w:bookmarkStart w:id="0" w:name="_GoBack"/>
      <w:bookmarkEnd w:id="0"/>
    </w:p>
    <w:p w:rsidR="00E921DB" w:rsidRPr="00E921DB" w:rsidRDefault="00E921DB" w:rsidP="00A56CA5">
      <w:pPr>
        <w:ind w:firstLine="709"/>
        <w:rPr>
          <w:rFonts w:ascii="Times New Roman" w:hAnsi="Times New Roman" w:cs="Times New Roman"/>
          <w:color w:val="000000" w:themeColor="text1"/>
          <w:sz w:val="28"/>
          <w:szCs w:val="28"/>
        </w:rPr>
      </w:pPr>
    </w:p>
    <w:sectPr w:rsidR="00E921DB" w:rsidRPr="00E921DB" w:rsidSect="00FB0E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C2F" w:rsidRDefault="008D4C2F" w:rsidP="00606826">
      <w:pPr>
        <w:spacing w:after="0" w:line="240" w:lineRule="auto"/>
      </w:pPr>
      <w:r>
        <w:separator/>
      </w:r>
    </w:p>
  </w:endnote>
  <w:endnote w:type="continuationSeparator" w:id="1">
    <w:p w:rsidR="008D4C2F" w:rsidRDefault="008D4C2F" w:rsidP="00606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C2F" w:rsidRDefault="008D4C2F" w:rsidP="00606826">
      <w:pPr>
        <w:spacing w:after="0" w:line="240" w:lineRule="auto"/>
      </w:pPr>
      <w:r>
        <w:separator/>
      </w:r>
    </w:p>
  </w:footnote>
  <w:footnote w:type="continuationSeparator" w:id="1">
    <w:p w:rsidR="008D4C2F" w:rsidRDefault="008D4C2F" w:rsidP="006068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numFmt w:val="bullet"/>
      <w:lvlText w:val=""/>
      <w:lvlJc w:val="left"/>
      <w:pPr>
        <w:tabs>
          <w:tab w:val="num" w:pos="0"/>
        </w:tabs>
        <w:ind w:left="720" w:hanging="360"/>
      </w:pPr>
      <w:rPr>
        <w:rFonts w:ascii="Symbol" w:hAnsi="Symbol" w:cs="Open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
    <w:nsid w:val="01C1013E"/>
    <w:multiLevelType w:val="hybridMultilevel"/>
    <w:tmpl w:val="97422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8D1848"/>
    <w:multiLevelType w:val="hybridMultilevel"/>
    <w:tmpl w:val="6F8818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ADE464E"/>
    <w:multiLevelType w:val="multilevel"/>
    <w:tmpl w:val="E898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D4E1D"/>
    <w:multiLevelType w:val="multilevel"/>
    <w:tmpl w:val="C5BC6E6A"/>
    <w:lvl w:ilvl="0">
      <w:start w:val="1"/>
      <w:numFmt w:val="decimal"/>
      <w:lvlText w:val="%1."/>
      <w:lvlJc w:val="left"/>
      <w:pPr>
        <w:tabs>
          <w:tab w:val="num" w:pos="0"/>
        </w:tabs>
        <w:ind w:left="720" w:hanging="360"/>
      </w:pPr>
      <w:rPr>
        <w:rFonts w:ascii="OpenSymbol" w:eastAsia="OpenSymbol" w:hAnsi="OpenSymbol" w:cs="OpenSymbol" w:hint="default"/>
        <w:color w:val="000000"/>
        <w:sz w:val="28"/>
        <w:szCs w:val="28"/>
        <w:lang w:val="ru-RU"/>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6ECE1A3A"/>
    <w:multiLevelType w:val="hybridMultilevel"/>
    <w:tmpl w:val="9800D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42A0F"/>
    <w:rsid w:val="000A0064"/>
    <w:rsid w:val="001438FF"/>
    <w:rsid w:val="00153AAC"/>
    <w:rsid w:val="00274AA0"/>
    <w:rsid w:val="004B6F2A"/>
    <w:rsid w:val="00606826"/>
    <w:rsid w:val="00703087"/>
    <w:rsid w:val="008C6CD3"/>
    <w:rsid w:val="008D4C2F"/>
    <w:rsid w:val="00942A0F"/>
    <w:rsid w:val="00A56CA5"/>
    <w:rsid w:val="00BB160D"/>
    <w:rsid w:val="00C0332E"/>
    <w:rsid w:val="00D5379D"/>
    <w:rsid w:val="00DC6F1D"/>
    <w:rsid w:val="00E921DB"/>
    <w:rsid w:val="00F62058"/>
    <w:rsid w:val="00FB0EE0"/>
    <w:rsid w:val="00FB4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E0"/>
  </w:style>
  <w:style w:type="paragraph" w:styleId="1">
    <w:name w:val="heading 1"/>
    <w:basedOn w:val="a"/>
    <w:link w:val="10"/>
    <w:uiPriority w:val="9"/>
    <w:qFormat/>
    <w:rsid w:val="00F620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2A0F"/>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3">
    <w:name w:val="Normal (Web)"/>
    <w:basedOn w:val="a"/>
    <w:uiPriority w:val="99"/>
    <w:unhideWhenUsed/>
    <w:rsid w:val="00274AA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B4252"/>
    <w:pPr>
      <w:ind w:left="720"/>
      <w:contextualSpacing/>
    </w:pPr>
  </w:style>
  <w:style w:type="character" w:styleId="a5">
    <w:name w:val="Hyperlink"/>
    <w:basedOn w:val="a0"/>
    <w:uiPriority w:val="99"/>
    <w:semiHidden/>
    <w:unhideWhenUsed/>
    <w:rsid w:val="00F62058"/>
    <w:rPr>
      <w:color w:val="0000FF"/>
      <w:u w:val="single"/>
    </w:rPr>
  </w:style>
  <w:style w:type="character" w:styleId="a6">
    <w:name w:val="Emphasis"/>
    <w:basedOn w:val="a0"/>
    <w:uiPriority w:val="20"/>
    <w:qFormat/>
    <w:rsid w:val="00F62058"/>
    <w:rPr>
      <w:i/>
      <w:iCs/>
    </w:rPr>
  </w:style>
  <w:style w:type="character" w:customStyle="1" w:styleId="10">
    <w:name w:val="Заголовок 1 Знак"/>
    <w:basedOn w:val="a0"/>
    <w:link w:val="1"/>
    <w:uiPriority w:val="9"/>
    <w:rsid w:val="00F62058"/>
    <w:rPr>
      <w:rFonts w:ascii="Times New Roman" w:eastAsia="Times New Roman" w:hAnsi="Times New Roman" w:cs="Times New Roman"/>
      <w:b/>
      <w:bCs/>
      <w:kern w:val="36"/>
      <w:sz w:val="48"/>
      <w:szCs w:val="48"/>
    </w:rPr>
  </w:style>
  <w:style w:type="character" w:customStyle="1" w:styleId="page-attributioncontent-name">
    <w:name w:val="page-attribution__content-name"/>
    <w:basedOn w:val="a0"/>
    <w:rsid w:val="00F62058"/>
  </w:style>
  <w:style w:type="character" w:styleId="a7">
    <w:name w:val="Strong"/>
    <w:basedOn w:val="a0"/>
    <w:uiPriority w:val="22"/>
    <w:qFormat/>
    <w:rsid w:val="00F62058"/>
    <w:rPr>
      <w:b/>
      <w:bCs/>
    </w:rPr>
  </w:style>
  <w:style w:type="paragraph" w:styleId="a8">
    <w:name w:val="header"/>
    <w:basedOn w:val="a"/>
    <w:link w:val="a9"/>
    <w:uiPriority w:val="99"/>
    <w:semiHidden/>
    <w:unhideWhenUsed/>
    <w:rsid w:val="0060682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06826"/>
  </w:style>
  <w:style w:type="paragraph" w:styleId="aa">
    <w:name w:val="footer"/>
    <w:basedOn w:val="a"/>
    <w:link w:val="ab"/>
    <w:uiPriority w:val="99"/>
    <w:semiHidden/>
    <w:unhideWhenUsed/>
    <w:rsid w:val="0060682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6826"/>
  </w:style>
  <w:style w:type="table" w:styleId="ac">
    <w:name w:val="Table Grid"/>
    <w:basedOn w:val="a1"/>
    <w:uiPriority w:val="59"/>
    <w:rsid w:val="00E921D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B6F2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6F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036110">
      <w:bodyDiv w:val="1"/>
      <w:marLeft w:val="0"/>
      <w:marRight w:val="0"/>
      <w:marTop w:val="0"/>
      <w:marBottom w:val="0"/>
      <w:divBdr>
        <w:top w:val="none" w:sz="0" w:space="0" w:color="auto"/>
        <w:left w:val="none" w:sz="0" w:space="0" w:color="auto"/>
        <w:bottom w:val="none" w:sz="0" w:space="0" w:color="auto"/>
        <w:right w:val="none" w:sz="0" w:space="0" w:color="auto"/>
      </w:divBdr>
    </w:div>
    <w:div w:id="402532085">
      <w:bodyDiv w:val="1"/>
      <w:marLeft w:val="0"/>
      <w:marRight w:val="0"/>
      <w:marTop w:val="0"/>
      <w:marBottom w:val="0"/>
      <w:divBdr>
        <w:top w:val="none" w:sz="0" w:space="0" w:color="auto"/>
        <w:left w:val="none" w:sz="0" w:space="0" w:color="auto"/>
        <w:bottom w:val="none" w:sz="0" w:space="0" w:color="auto"/>
        <w:right w:val="none" w:sz="0" w:space="0" w:color="auto"/>
      </w:divBdr>
      <w:divsChild>
        <w:div w:id="1379276271">
          <w:marLeft w:val="0"/>
          <w:marRight w:val="0"/>
          <w:marTop w:val="0"/>
          <w:marBottom w:val="0"/>
          <w:divBdr>
            <w:top w:val="none" w:sz="0" w:space="0" w:color="auto"/>
            <w:left w:val="none" w:sz="0" w:space="0" w:color="auto"/>
            <w:bottom w:val="none" w:sz="0" w:space="0" w:color="auto"/>
            <w:right w:val="none" w:sz="0" w:space="0" w:color="auto"/>
          </w:divBdr>
        </w:div>
        <w:div w:id="1944921188">
          <w:marLeft w:val="0"/>
          <w:marRight w:val="0"/>
          <w:marTop w:val="0"/>
          <w:marBottom w:val="0"/>
          <w:divBdr>
            <w:top w:val="none" w:sz="0" w:space="0" w:color="auto"/>
            <w:left w:val="none" w:sz="0" w:space="0" w:color="auto"/>
            <w:bottom w:val="none" w:sz="0" w:space="0" w:color="auto"/>
            <w:right w:val="none" w:sz="0" w:space="0" w:color="auto"/>
          </w:divBdr>
        </w:div>
      </w:divsChild>
    </w:div>
    <w:div w:id="454451887">
      <w:bodyDiv w:val="1"/>
      <w:marLeft w:val="0"/>
      <w:marRight w:val="0"/>
      <w:marTop w:val="0"/>
      <w:marBottom w:val="0"/>
      <w:divBdr>
        <w:top w:val="none" w:sz="0" w:space="0" w:color="auto"/>
        <w:left w:val="none" w:sz="0" w:space="0" w:color="auto"/>
        <w:bottom w:val="none" w:sz="0" w:space="0" w:color="auto"/>
        <w:right w:val="none" w:sz="0" w:space="0" w:color="auto"/>
      </w:divBdr>
      <w:divsChild>
        <w:div w:id="590820858">
          <w:marLeft w:val="0"/>
          <w:marRight w:val="0"/>
          <w:marTop w:val="0"/>
          <w:marBottom w:val="0"/>
          <w:divBdr>
            <w:top w:val="none" w:sz="0" w:space="0" w:color="auto"/>
            <w:left w:val="none" w:sz="0" w:space="0" w:color="auto"/>
            <w:bottom w:val="none" w:sz="0" w:space="0" w:color="auto"/>
            <w:right w:val="none" w:sz="0" w:space="0" w:color="auto"/>
          </w:divBdr>
        </w:div>
        <w:div w:id="1609893912">
          <w:marLeft w:val="0"/>
          <w:marRight w:val="0"/>
          <w:marTop w:val="0"/>
          <w:marBottom w:val="0"/>
          <w:divBdr>
            <w:top w:val="none" w:sz="0" w:space="0" w:color="auto"/>
            <w:left w:val="none" w:sz="0" w:space="0" w:color="auto"/>
            <w:bottom w:val="none" w:sz="0" w:space="0" w:color="auto"/>
            <w:right w:val="none" w:sz="0" w:space="0" w:color="auto"/>
          </w:divBdr>
        </w:div>
      </w:divsChild>
    </w:div>
    <w:div w:id="617179888">
      <w:bodyDiv w:val="1"/>
      <w:marLeft w:val="0"/>
      <w:marRight w:val="0"/>
      <w:marTop w:val="0"/>
      <w:marBottom w:val="0"/>
      <w:divBdr>
        <w:top w:val="none" w:sz="0" w:space="0" w:color="auto"/>
        <w:left w:val="none" w:sz="0" w:space="0" w:color="auto"/>
        <w:bottom w:val="none" w:sz="0" w:space="0" w:color="auto"/>
        <w:right w:val="none" w:sz="0" w:space="0" w:color="auto"/>
      </w:divBdr>
      <w:divsChild>
        <w:div w:id="1390835181">
          <w:marLeft w:val="0"/>
          <w:marRight w:val="0"/>
          <w:marTop w:val="0"/>
          <w:marBottom w:val="0"/>
          <w:divBdr>
            <w:top w:val="none" w:sz="0" w:space="0" w:color="auto"/>
            <w:left w:val="none" w:sz="0" w:space="0" w:color="auto"/>
            <w:bottom w:val="none" w:sz="0" w:space="0" w:color="auto"/>
            <w:right w:val="none" w:sz="0" w:space="0" w:color="auto"/>
          </w:divBdr>
          <w:divsChild>
            <w:div w:id="1623151163">
              <w:marLeft w:val="0"/>
              <w:marRight w:val="0"/>
              <w:marTop w:val="0"/>
              <w:marBottom w:val="0"/>
              <w:divBdr>
                <w:top w:val="none" w:sz="0" w:space="0" w:color="auto"/>
                <w:left w:val="none" w:sz="0" w:space="0" w:color="auto"/>
                <w:bottom w:val="none" w:sz="0" w:space="0" w:color="auto"/>
                <w:right w:val="none" w:sz="0" w:space="0" w:color="auto"/>
              </w:divBdr>
            </w:div>
            <w:div w:id="12237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1547">
      <w:bodyDiv w:val="1"/>
      <w:marLeft w:val="0"/>
      <w:marRight w:val="0"/>
      <w:marTop w:val="0"/>
      <w:marBottom w:val="0"/>
      <w:divBdr>
        <w:top w:val="none" w:sz="0" w:space="0" w:color="auto"/>
        <w:left w:val="none" w:sz="0" w:space="0" w:color="auto"/>
        <w:bottom w:val="none" w:sz="0" w:space="0" w:color="auto"/>
        <w:right w:val="none" w:sz="0" w:space="0" w:color="auto"/>
      </w:divBdr>
    </w:div>
    <w:div w:id="1498574578">
      <w:bodyDiv w:val="1"/>
      <w:marLeft w:val="0"/>
      <w:marRight w:val="0"/>
      <w:marTop w:val="0"/>
      <w:marBottom w:val="0"/>
      <w:divBdr>
        <w:top w:val="none" w:sz="0" w:space="0" w:color="auto"/>
        <w:left w:val="none" w:sz="0" w:space="0" w:color="auto"/>
        <w:bottom w:val="none" w:sz="0" w:space="0" w:color="auto"/>
        <w:right w:val="none" w:sz="0" w:space="0" w:color="auto"/>
      </w:divBdr>
    </w:div>
    <w:div w:id="1507548583">
      <w:bodyDiv w:val="1"/>
      <w:marLeft w:val="0"/>
      <w:marRight w:val="0"/>
      <w:marTop w:val="0"/>
      <w:marBottom w:val="0"/>
      <w:divBdr>
        <w:top w:val="none" w:sz="0" w:space="0" w:color="auto"/>
        <w:left w:val="none" w:sz="0" w:space="0" w:color="auto"/>
        <w:bottom w:val="none" w:sz="0" w:space="0" w:color="auto"/>
        <w:right w:val="none" w:sz="0" w:space="0" w:color="auto"/>
      </w:divBdr>
      <w:divsChild>
        <w:div w:id="2095979120">
          <w:marLeft w:val="0"/>
          <w:marRight w:val="0"/>
          <w:marTop w:val="0"/>
          <w:marBottom w:val="0"/>
          <w:divBdr>
            <w:top w:val="none" w:sz="0" w:space="0" w:color="auto"/>
            <w:left w:val="none" w:sz="0" w:space="0" w:color="auto"/>
            <w:bottom w:val="none" w:sz="0" w:space="0" w:color="auto"/>
            <w:right w:val="none" w:sz="0" w:space="0" w:color="auto"/>
          </w:divBdr>
        </w:div>
        <w:div w:id="1029792871">
          <w:marLeft w:val="0"/>
          <w:marRight w:val="0"/>
          <w:marTop w:val="0"/>
          <w:marBottom w:val="0"/>
          <w:divBdr>
            <w:top w:val="none" w:sz="0" w:space="0" w:color="auto"/>
            <w:left w:val="none" w:sz="0" w:space="0" w:color="auto"/>
            <w:bottom w:val="none" w:sz="0" w:space="0" w:color="auto"/>
            <w:right w:val="none" w:sz="0" w:space="0" w:color="auto"/>
          </w:divBdr>
        </w:div>
      </w:divsChild>
    </w:div>
    <w:div w:id="1623614829">
      <w:bodyDiv w:val="1"/>
      <w:marLeft w:val="0"/>
      <w:marRight w:val="0"/>
      <w:marTop w:val="0"/>
      <w:marBottom w:val="0"/>
      <w:divBdr>
        <w:top w:val="none" w:sz="0" w:space="0" w:color="auto"/>
        <w:left w:val="none" w:sz="0" w:space="0" w:color="auto"/>
        <w:bottom w:val="none" w:sz="0" w:space="0" w:color="auto"/>
        <w:right w:val="none" w:sz="0" w:space="0" w:color="auto"/>
      </w:divBdr>
      <w:divsChild>
        <w:div w:id="543912729">
          <w:marLeft w:val="0"/>
          <w:marRight w:val="0"/>
          <w:marTop w:val="0"/>
          <w:marBottom w:val="0"/>
          <w:divBdr>
            <w:top w:val="single" w:sz="48" w:space="11" w:color="084466"/>
            <w:left w:val="none" w:sz="0" w:space="0" w:color="auto"/>
            <w:bottom w:val="none" w:sz="0" w:space="11" w:color="auto"/>
            <w:right w:val="none" w:sz="0" w:space="0" w:color="auto"/>
          </w:divBdr>
        </w:div>
      </w:divsChild>
    </w:div>
    <w:div w:id="20977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cdn.ymaws.com/www.isth.org/resource/resmgr/atc/atlanta/P1_Lambert.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lo-online.com/home/contact/13009339/juliana-perez-bote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1768</Words>
  <Characters>10080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dc:creator>
  <cp:keywords/>
  <dc:description/>
  <cp:lastModifiedBy>Ир</cp:lastModifiedBy>
  <cp:revision>5</cp:revision>
  <dcterms:created xsi:type="dcterms:W3CDTF">2020-02-11T11:24:00Z</dcterms:created>
  <dcterms:modified xsi:type="dcterms:W3CDTF">2020-02-27T11:02:00Z</dcterms:modified>
</cp:coreProperties>
</file>