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proofErr w:type="gram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Войно</w:t>
      </w:r>
      <w:proofErr w:type="spell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Ясенецкого</w:t>
      </w:r>
      <w:proofErr w:type="spellEnd"/>
      <w:proofErr w:type="gram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здравоохранения Российской Федерации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Кафедра онкологии и лучевой терапии с курсом </w:t>
      </w:r>
      <w:proofErr w:type="gram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кафедрой</w:t>
      </w:r>
    </w:p>
    <w:p w:rsidR="00EE125D" w:rsidRPr="00EE125D" w:rsidRDefault="00EE125D" w:rsidP="002B54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Д.м.н.</w:t>
      </w:r>
      <w:proofErr w:type="gram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,п</w:t>
      </w:r>
      <w:proofErr w:type="gram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рофессор</w:t>
      </w:r>
      <w:proofErr w:type="spell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Зуков</w:t>
      </w:r>
      <w:proofErr w:type="spell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Руслан Александрович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Реферат на тему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2B5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Таргетная</w:t>
      </w:r>
      <w:proofErr w:type="spellEnd"/>
      <w:r w:rsidR="002B5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терапия НМРЛ</w:t>
      </w: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Выполнила: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Клинический ординатор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Привалихина Евгения Владимировна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Проверил: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Кафедральный руководитель ординатора</w:t>
      </w:r>
    </w:p>
    <w:p w:rsidR="00EE125D" w:rsidRPr="00EE125D" w:rsidRDefault="00EE125D" w:rsidP="00EE12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К.м.н.</w:t>
      </w:r>
      <w:proofErr w:type="gramStart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,д</w:t>
      </w:r>
      <w:proofErr w:type="gram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оцент</w:t>
      </w:r>
      <w:proofErr w:type="spellEnd"/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Гаврилюк Дмитрий Владимирович</w:t>
      </w: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EE125D" w:rsidRPr="00EE125D" w:rsidRDefault="00EE125D" w:rsidP="00EE1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E12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Красноярск,</w:t>
      </w:r>
      <w:r w:rsidRPr="002B54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</w:p>
    <w:p w:rsidR="00EE125D" w:rsidRDefault="00EE125D" w:rsidP="00EE125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161F7" w:rsidRP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  <w:r w:rsidRPr="008161F7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8161F7" w:rsidRPr="008161F7" w:rsidRDefault="008161F7" w:rsidP="008161F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161F7">
        <w:rPr>
          <w:rFonts w:ascii="Times New Roman" w:hAnsi="Times New Roman" w:cs="Times New Roman"/>
          <w:sz w:val="32"/>
          <w:szCs w:val="32"/>
        </w:rPr>
        <w:t>Введение</w:t>
      </w:r>
    </w:p>
    <w:p w:rsidR="008161F7" w:rsidRPr="008161F7" w:rsidRDefault="008161F7" w:rsidP="008161F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8161F7">
        <w:rPr>
          <w:rFonts w:ascii="Times New Roman" w:hAnsi="Times New Roman" w:cs="Times New Roman"/>
          <w:i/>
          <w:sz w:val="32"/>
          <w:szCs w:val="32"/>
        </w:rPr>
        <w:t>Таргетные</w:t>
      </w:r>
      <w:proofErr w:type="spellEnd"/>
      <w:r w:rsidRPr="008161F7">
        <w:rPr>
          <w:rFonts w:ascii="Times New Roman" w:hAnsi="Times New Roman" w:cs="Times New Roman"/>
          <w:i/>
          <w:sz w:val="32"/>
          <w:szCs w:val="32"/>
        </w:rPr>
        <w:t xml:space="preserve"> препараты</w:t>
      </w:r>
    </w:p>
    <w:p w:rsidR="008161F7" w:rsidRPr="008161F7" w:rsidRDefault="008161F7" w:rsidP="008161F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161F7">
        <w:rPr>
          <w:rFonts w:ascii="Times New Roman" w:hAnsi="Times New Roman" w:cs="Times New Roman"/>
          <w:sz w:val="32"/>
          <w:szCs w:val="32"/>
        </w:rPr>
        <w:t xml:space="preserve">Теоретическое обоснование </w:t>
      </w:r>
      <w:proofErr w:type="spellStart"/>
      <w:r w:rsidRPr="008161F7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8161F7">
        <w:rPr>
          <w:rFonts w:ascii="Times New Roman" w:hAnsi="Times New Roman" w:cs="Times New Roman"/>
          <w:sz w:val="32"/>
          <w:szCs w:val="32"/>
        </w:rPr>
        <w:t xml:space="preserve"> терапии рака легких</w:t>
      </w:r>
    </w:p>
    <w:p w:rsidR="008161F7" w:rsidRPr="008161F7" w:rsidRDefault="008161F7" w:rsidP="008161F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161F7">
        <w:rPr>
          <w:rFonts w:ascii="Times New Roman" w:hAnsi="Times New Roman" w:cs="Times New Roman"/>
          <w:sz w:val="32"/>
          <w:szCs w:val="32"/>
        </w:rPr>
        <w:t xml:space="preserve">Генотипы </w:t>
      </w:r>
      <w:proofErr w:type="spellStart"/>
      <w:r w:rsidRPr="008161F7">
        <w:rPr>
          <w:rFonts w:ascii="Times New Roman" w:hAnsi="Times New Roman" w:cs="Times New Roman"/>
          <w:sz w:val="32"/>
          <w:szCs w:val="32"/>
        </w:rPr>
        <w:t>немелкоклеточного</w:t>
      </w:r>
      <w:proofErr w:type="spellEnd"/>
      <w:r w:rsidRPr="008161F7">
        <w:rPr>
          <w:rFonts w:ascii="Times New Roman" w:hAnsi="Times New Roman" w:cs="Times New Roman"/>
          <w:sz w:val="32"/>
          <w:szCs w:val="32"/>
        </w:rPr>
        <w:t xml:space="preserve"> рака легких</w:t>
      </w:r>
    </w:p>
    <w:p w:rsidR="008161F7" w:rsidRPr="008161F7" w:rsidRDefault="008161F7" w:rsidP="008161F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8161F7">
        <w:rPr>
          <w:rFonts w:ascii="Times New Roman" w:hAnsi="Times New Roman" w:cs="Times New Roman"/>
          <w:sz w:val="32"/>
          <w:szCs w:val="32"/>
        </w:rPr>
        <w:t>Заключение</w:t>
      </w:r>
    </w:p>
    <w:p w:rsidR="008161F7" w:rsidRP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61F7" w:rsidRDefault="008161F7" w:rsidP="002B54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543E" w:rsidRDefault="002B543E" w:rsidP="002B54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Рак лёгких трудно поддаётся лечению. А выбор метода зависит от типа опухоли и стадии. Обычно при этом заболевании применяют хирургическое лечение, лучевую,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хими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таргетную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терапию, а также их сочетание. 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Вся терапия (лечение) рака легких подразделяется на 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локальную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и системную: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Локальная терапия – это хирургическое вмешательство (операции) и лучевая терапия. Их цель – удалить или разрушить злокачественные клетки. Если метастазы вышли за пределы лёгких, локальную терапию применяют и на других пораженных органах. 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Системная терапия включает 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fldChar w:fldCharType="begin"/>
      </w:r>
      <w:r w:rsidRPr="00E14E82">
        <w:rPr>
          <w:rFonts w:ascii="Times New Roman" w:hAnsi="Times New Roman" w:cs="Times New Roman"/>
          <w:sz w:val="32"/>
          <w:szCs w:val="32"/>
        </w:rPr>
        <w:instrText xml:space="preserve"> HYPERLINK "https://hemonc.ru/services/treatment/osnovnye-napravleniia/targetnaia-terapiia/" \o "https://hemonc.ru/services/treatment/osnovnye-napravleniia/targetnaia-terapiia/" \t "_blank" </w:instrText>
      </w:r>
      <w:r w:rsidRPr="00E14E82">
        <w:rPr>
          <w:rFonts w:ascii="Times New Roman" w:hAnsi="Times New Roman" w:cs="Times New Roman"/>
          <w:sz w:val="32"/>
          <w:szCs w:val="32"/>
        </w:rPr>
        <w:fldChar w:fldCharType="separate"/>
      </w:r>
      <w:r w:rsidRPr="00E14E82">
        <w:rPr>
          <w:rStyle w:val="a5"/>
          <w:rFonts w:ascii="Times New Roman" w:hAnsi="Times New Roman" w:cs="Times New Roman"/>
          <w:sz w:val="32"/>
          <w:szCs w:val="32"/>
        </w:rPr>
        <w:t>таргетную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fldChar w:fldCharType="end"/>
      </w:r>
      <w:r w:rsidRPr="00E14E82">
        <w:rPr>
          <w:rFonts w:ascii="Times New Roman" w:hAnsi="Times New Roman" w:cs="Times New Roman"/>
          <w:sz w:val="32"/>
          <w:szCs w:val="32"/>
        </w:rPr>
        <w:t> и </w:t>
      </w:r>
      <w:hyperlink r:id="rId6" w:tgtFrame="_blank" w:tooltip="https://hemonc.ru/services/treatment/chemotherapy/rak-legkikh/" w:history="1">
        <w:r w:rsidRPr="00E14E82">
          <w:rPr>
            <w:rStyle w:val="a5"/>
            <w:rFonts w:ascii="Times New Roman" w:hAnsi="Times New Roman" w:cs="Times New Roman"/>
            <w:sz w:val="32"/>
            <w:szCs w:val="32"/>
          </w:rPr>
          <w:t>химиотерапию</w:t>
        </w:r>
      </w:hyperlink>
      <w:r w:rsidRPr="00E14E82">
        <w:rPr>
          <w:rFonts w:ascii="Times New Roman" w:hAnsi="Times New Roman" w:cs="Times New Roman"/>
          <w:sz w:val="32"/>
          <w:szCs w:val="32"/>
        </w:rPr>
        <w:t> и </w:t>
      </w:r>
      <w:hyperlink r:id="rId7" w:tgtFrame="_blank" w:tooltip="https://hemonc.ru/services/treatment/osnovnye-napravleniia/immunoterapiia/" w:history="1">
        <w:r w:rsidRPr="00E14E82">
          <w:rPr>
            <w:rStyle w:val="a5"/>
            <w:rFonts w:ascii="Times New Roman" w:hAnsi="Times New Roman" w:cs="Times New Roman"/>
            <w:sz w:val="32"/>
            <w:szCs w:val="32"/>
          </w:rPr>
          <w:t>иммунотерапию</w:t>
        </w:r>
      </w:hyperlink>
      <w:r w:rsidRPr="00E14E82">
        <w:rPr>
          <w:rFonts w:ascii="Times New Roman" w:hAnsi="Times New Roman" w:cs="Times New Roman"/>
          <w:sz w:val="32"/>
          <w:szCs w:val="32"/>
        </w:rPr>
        <w:t>. Препараты, поступая в кровоток, уничтожают или останавливают рост злокачественных клеток в организме. 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При мелкоклеточном раке в ограниченной стадии (то есть, когда рак не распространился за пределы легких) обычно проводят лучевую и химиотерапию. Мелкоклеточный рак, который распространился за пределы легких, лечат химиотерапией.</w:t>
      </w:r>
      <w:r w:rsidRPr="00E14E82">
        <w:rPr>
          <w:rFonts w:ascii="Times New Roman" w:hAnsi="Times New Roman" w:cs="Times New Roman"/>
          <w:sz w:val="32"/>
          <w:szCs w:val="32"/>
        </w:rPr>
        <w:br/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раке лёгких в ограниченной стадии лечение возможно хирургическим способом,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химио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- и лучевой терапией, а также их сочетанием. 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Системная терапия.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Для лечения рака легкого используют три вида системной терапии: химиотерапию,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таргетную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терапию и иммунотерапию.</w:t>
      </w:r>
      <w:r w:rsidRPr="00E14E82">
        <w:rPr>
          <w:rFonts w:ascii="Times New Roman" w:hAnsi="Times New Roman" w:cs="Times New Roman"/>
          <w:sz w:val="32"/>
          <w:szCs w:val="32"/>
        </w:rPr>
        <w:br/>
      </w:r>
    </w:p>
    <w:p w:rsidR="002B543E" w:rsidRDefault="002B543E" w:rsidP="00E14E82">
      <w:pPr>
        <w:rPr>
          <w:rFonts w:ascii="Times New Roman" w:hAnsi="Times New Roman" w:cs="Times New Roman"/>
          <w:sz w:val="32"/>
          <w:szCs w:val="32"/>
        </w:rPr>
      </w:pPr>
    </w:p>
    <w:p w:rsidR="002B543E" w:rsidRDefault="002B543E" w:rsidP="00E14E82">
      <w:pPr>
        <w:rPr>
          <w:rFonts w:ascii="Times New Roman" w:hAnsi="Times New Roman" w:cs="Times New Roman"/>
          <w:sz w:val="32"/>
          <w:szCs w:val="32"/>
        </w:rPr>
      </w:pP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lastRenderedPageBreak/>
        <w:t>Химиотерапия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При химиотерапии применяют препараты, которые убивают раковые клетки. Как правило, её вводят внутривенно, но некоторые виды препаратов принимают в виде таблеток.</w:t>
      </w:r>
    </w:p>
    <w:p w:rsidR="00513B31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Химиотерапию при раке лёгких проводят поэтапно, чередуя с периодами отдыха. Продолжительность курса, количество курсов, препараты – зависят от выбранной схемы. Препараты могут вызывать побочные эффекты</w:t>
      </w:r>
      <w:r w:rsidR="002B543E">
        <w:rPr>
          <w:rFonts w:ascii="Times New Roman" w:hAnsi="Times New Roman" w:cs="Times New Roman"/>
          <w:sz w:val="32"/>
          <w:szCs w:val="32"/>
        </w:rPr>
        <w:t>.</w:t>
      </w:r>
      <w:r w:rsidRPr="00E14E82">
        <w:rPr>
          <w:rFonts w:ascii="Times New Roman" w:hAnsi="Times New Roman" w:cs="Times New Roman"/>
          <w:sz w:val="32"/>
          <w:szCs w:val="32"/>
        </w:rPr>
        <w:t xml:space="preserve"> Большинство из них можно предотвратить или компенсировать.</w:t>
      </w:r>
      <w:r w:rsidRPr="00E14E82">
        <w:rPr>
          <w:rFonts w:ascii="Times New Roman" w:hAnsi="Times New Roman" w:cs="Times New Roman"/>
          <w:sz w:val="32"/>
          <w:szCs w:val="32"/>
        </w:rPr>
        <w:br/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Таргетная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терапия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Принципы работы 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  (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target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= цель) отличаются от принципов действия химиотерапии.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препараты воздействуют на определенные мутации или рецепторы опухолевых клеток и таким образом мешают им расти и развиваться. Применять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таргетную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терапию имеет 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смысл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> только если есть определенные изменения в генах опухолевых клеток. Мутации определяют специальными анализами, для которых нужен гистологический блок (парафин с кусочком опухоли) или образец крови (так называемая «жидкая» биопсия)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>аргетные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препараты обычно используют для лечения распространенных стадий рака легких или в случаях рецидивов. У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тоже бывают побочные эффекты.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Иммунотерапия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Существуют препараты, которые влияют на иммунную систему и «обучают» её бороться с раком. Препараты иммунотерапии используют только в случаях распространившегося рака лёгкого, потому что пока не понятно, помогают ли они лечить ранние стадии или нет. Важно: это сложные, дорогостоящие препараты, не иммуномодуляторы и не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БАДы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B543E">
        <w:rPr>
          <w:rFonts w:ascii="Times New Roman" w:hAnsi="Times New Roman" w:cs="Times New Roman"/>
          <w:b/>
          <w:i/>
          <w:sz w:val="32"/>
          <w:szCs w:val="32"/>
        </w:rPr>
        <w:lastRenderedPageBreak/>
        <w:t>Таргетные</w:t>
      </w:r>
      <w:proofErr w:type="spellEnd"/>
      <w:r w:rsidRPr="002B543E">
        <w:rPr>
          <w:rFonts w:ascii="Times New Roman" w:hAnsi="Times New Roman" w:cs="Times New Roman"/>
          <w:b/>
          <w:i/>
          <w:sz w:val="32"/>
          <w:szCs w:val="32"/>
        </w:rPr>
        <w:t xml:space="preserve"> препараты</w:t>
      </w:r>
      <w:r w:rsidRPr="00E14E82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Мабтера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(CD20)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Герцептин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(HER2)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Гливек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(BCR/ABL, KIT, PDGFR)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Иресса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Тарцева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(EGFR)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Цетуксимаб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(EGFR) -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Сутент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мультитаргетный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ингибитор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киназ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Сорафениб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мультитаргетный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ингибитор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киназ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) -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Лапатиниб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(ингибитор EGFR и HER2)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Лечение пациентов с метастатическим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раком легкого (НМРЛ) традиционно базировалось на системной цитостатической терапии. Химиотерапия целенаправленно уничтожает клетки, находящиеся в состоянии роста и деления, купирует симптомы заболевания, улучшает качество жизни пациента и удлиняет продолжительность жизни у части пациентов с НМРЛ.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Данная статья резюмирует результаты ряда научных исследований, посвященных скринингу мутаций у пациентов с НМРЛ, а также изучению эффективности 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рака легких, назначенной на базе результатов скрининга.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Понимание молекулярных механизмов, отвечающих за формирование раковой опухоли при НМРЛ и других неопластических заболеваниях, позволило разработать категорию лекарственных препаратов, обладающих селективностью воздействия на специфические процессы в злокачественных клетках. 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Считается, что данные препараты (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лекарства) относительно безвредны для здоровых клеток, но при этом крайне эффективны для уничтожения злокачественных.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Большинство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препаратов назначаются в форме таблеток и представляют собой ингибиторы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Кроме того, существуют лекарства в форме внутривенных инъекций. Они относятся к категории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моноклональных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антител или мелкомолекулярных соединений.</w:t>
      </w:r>
    </w:p>
    <w:p w:rsidR="002B543E" w:rsidRDefault="002B543E" w:rsidP="00E14E82">
      <w:pPr>
        <w:rPr>
          <w:rFonts w:ascii="Times New Roman" w:hAnsi="Times New Roman" w:cs="Times New Roman"/>
          <w:b/>
          <w:sz w:val="32"/>
          <w:szCs w:val="32"/>
        </w:rPr>
      </w:pPr>
    </w:p>
    <w:p w:rsidR="002B543E" w:rsidRDefault="002B543E" w:rsidP="00E14E82">
      <w:pPr>
        <w:rPr>
          <w:rFonts w:ascii="Times New Roman" w:hAnsi="Times New Roman" w:cs="Times New Roman"/>
          <w:b/>
          <w:sz w:val="32"/>
          <w:szCs w:val="32"/>
        </w:rPr>
      </w:pPr>
    </w:p>
    <w:p w:rsidR="00E14E82" w:rsidRPr="002B543E" w:rsidRDefault="00E14E82" w:rsidP="00E14E82">
      <w:pPr>
        <w:rPr>
          <w:rFonts w:ascii="Times New Roman" w:hAnsi="Times New Roman" w:cs="Times New Roman"/>
          <w:b/>
          <w:sz w:val="32"/>
          <w:szCs w:val="32"/>
        </w:rPr>
      </w:pPr>
      <w:r w:rsidRPr="002B543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Теоретическое обоснование </w:t>
      </w:r>
      <w:proofErr w:type="spellStart"/>
      <w:r w:rsidRPr="002B543E">
        <w:rPr>
          <w:rFonts w:ascii="Times New Roman" w:hAnsi="Times New Roman" w:cs="Times New Roman"/>
          <w:b/>
          <w:sz w:val="32"/>
          <w:szCs w:val="32"/>
        </w:rPr>
        <w:t>таргетной</w:t>
      </w:r>
      <w:proofErr w:type="spellEnd"/>
      <w:r w:rsidRPr="002B543E">
        <w:rPr>
          <w:rFonts w:ascii="Times New Roman" w:hAnsi="Times New Roman" w:cs="Times New Roman"/>
          <w:b/>
          <w:sz w:val="32"/>
          <w:szCs w:val="32"/>
        </w:rPr>
        <w:t xml:space="preserve"> терапии рака легких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Большинство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биомаркеров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определяющих эффективность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немелкоклеточного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рака легких, представляют собой геномные аномалии, которые носят название драйверных мутаций (мутация – «водитель»). Драйверные мутации присутствуют в раковых клетках и затрагивают гены, кодирующие синтез протеинов, чье присутствие в клетке является обязательным условием для ее роста и выживания. В клетках НМРЛ был также идентифицирован ряд других мутаций, не играющих значимой роли в поддержании онкогенного фенотипа, и эти мутации получили название вторичных, или мутаци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«пассажиров». Драйверные мутации отсутствуют в других клетках организма (нераковых) и, как правило, эксклюзивны: в клетках опухоли присутствует только одна разновидность драйверной мутации.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Драйверные мутации носят характер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трансформативных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, то есть выступают инициаторами малигнизации нормальной клетки. Кроме того, драйверные мутации играют роль своеобразного биологического «выключателя»: они закрепляют раковый фенотип клетки, исключая ее из процессов биологической регуляции.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Таким образом, драйверные мутации могут рассматриваться как надежные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биомаркеры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в рамках селекции кандидатов для назначения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терапии. Более того, драйверная мутация представляет собой идеальную мишень для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препаратов, поскольку выживаемость раковой клетки напрямую зависит от активности драйверной мутации, «выключившей» другие механизмы биологической регуляции. Иными словами, драйверная мутация, обеспечивающая выживание раковой клетки, в то же время является ее ахиллесовой пятой.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При НМРЛ и других раковых опухолях идентификация драйверных мутаций у конкретного пациента и, соответственно, назначение адекватной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оптимизируют терапевтический эффект, а также в большинстве случаев позволяют добиться </w:t>
      </w:r>
      <w:r w:rsidRPr="00E14E82">
        <w:rPr>
          <w:rFonts w:ascii="Times New Roman" w:hAnsi="Times New Roman" w:cs="Times New Roman"/>
          <w:sz w:val="32"/>
          <w:szCs w:val="32"/>
        </w:rPr>
        <w:lastRenderedPageBreak/>
        <w:t>снижения токсичности. Идентификация драйверных мутаций может и должна рассматриваться как неотъемлемая часть процесса </w:t>
      </w:r>
      <w:hyperlink r:id="rId8" w:tooltip="Диагностика в Израиле" w:history="1">
        <w:r w:rsidRPr="00E14E82">
          <w:rPr>
            <w:rStyle w:val="a5"/>
            <w:rFonts w:ascii="Times New Roman" w:hAnsi="Times New Roman" w:cs="Times New Roman"/>
            <w:sz w:val="32"/>
            <w:szCs w:val="32"/>
          </w:rPr>
          <w:t>диагностики </w:t>
        </w:r>
      </w:hyperlink>
      <w:r w:rsidRPr="00E14E82">
        <w:rPr>
          <w:rFonts w:ascii="Times New Roman" w:hAnsi="Times New Roman" w:cs="Times New Roman"/>
          <w:sz w:val="32"/>
          <w:szCs w:val="32"/>
        </w:rPr>
        <w:t xml:space="preserve">у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раком легких. На основании полученных результатов можно вынести обоснованное заключение о назначении пациенту стандартной химиотерапии (при отсутствии драйверных мутаций) или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терапии.</w:t>
      </w:r>
    </w:p>
    <w:p w:rsidR="00E14E82" w:rsidRPr="002B543E" w:rsidRDefault="00E14E82" w:rsidP="00E14E82">
      <w:pPr>
        <w:rPr>
          <w:rFonts w:ascii="Times New Roman" w:hAnsi="Times New Roman" w:cs="Times New Roman"/>
          <w:b/>
          <w:sz w:val="32"/>
          <w:szCs w:val="32"/>
        </w:rPr>
      </w:pPr>
      <w:r w:rsidRPr="002B543E">
        <w:rPr>
          <w:rFonts w:ascii="Times New Roman" w:hAnsi="Times New Roman" w:cs="Times New Roman"/>
          <w:b/>
          <w:sz w:val="32"/>
          <w:szCs w:val="32"/>
        </w:rPr>
        <w:t xml:space="preserve">Генотипы </w:t>
      </w:r>
      <w:proofErr w:type="spellStart"/>
      <w:r w:rsidRPr="002B543E">
        <w:rPr>
          <w:rFonts w:ascii="Times New Roman" w:hAnsi="Times New Roman" w:cs="Times New Roman"/>
          <w:b/>
          <w:sz w:val="32"/>
          <w:szCs w:val="32"/>
        </w:rPr>
        <w:t>немелкоклеточного</w:t>
      </w:r>
      <w:proofErr w:type="spellEnd"/>
      <w:r w:rsidRPr="002B543E">
        <w:rPr>
          <w:rFonts w:ascii="Times New Roman" w:hAnsi="Times New Roman" w:cs="Times New Roman"/>
          <w:b/>
          <w:sz w:val="32"/>
          <w:szCs w:val="32"/>
        </w:rPr>
        <w:t xml:space="preserve"> рака легких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Ниже перечислены драйверные мутации, наиболее характерные для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раком легких и представляющие собой мишени для существующих на сегодняшний день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препаратов (как прошедших фазу клинической апробации, так и находящихся в фазе клинических испытаний). Кроме того, в статье рассматриваются мутаци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«пассажиры», часто встречающиеся у пациентом с НМРЛ, вне зависимости от возможности применения в данном случае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Показанием к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считается существование одной из драйверных мутаций, фигурирующих в списке. При отсутствии адекватной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или невозможности участия пациента в программе клинических испытаний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средств, целесообразно использовать стандартную цитостатическую терапию.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EGFR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Мутации в генах EGFR присутствуют примерно у 15% пациентов с НМРЛ на территории США. Они чаще встречаются у некурящих пациентов. В группе пациентов азиатского происхождения частота данных мутаций значительно выше и может достигать 62%.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У пациентов на поздних стадиях рака легких наличие мутации EGFR является благоприятным прогностическим признаком, поскольку предполагает восприимчивость опухоли к ингибиторам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эрлотинибу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гефтинибу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афатинибу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lastRenderedPageBreak/>
        <w:t>Транслокации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ALK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Согласно исследованиям, проведенным в США,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транслокации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гена ALK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отмечаются примерно у 4%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аденокарциномой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. Они превалируют у молодых пациентов и у некурящих.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Наличие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транслокации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предопределяет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сенситивность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кризотинибу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Терапия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кризотинибом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в свою очередь, повышает показатели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беспрогрессивной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выживаемости.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Мутации RAS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RAS – общее название группы онкогенов, идентифицированных в процессе изучения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ретровирусов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индуцирующих развитие саркомы у крыс (RAS –от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rat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sarcoma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).Геном человека содержит гомологи: KRAS, NRAS и HRAS.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RAS протеины относятся к семейству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мембранносвязанных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ГТФаз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выполняют роль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медиатора в процессах MAP-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киназного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PI3K каскадов, контролирующих процессы клеточной пролиферации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апоптоза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.</w:t>
      </w:r>
      <w:r w:rsidRPr="00E14E82">
        <w:rPr>
          <w:rFonts w:ascii="Times New Roman" w:hAnsi="Times New Roman" w:cs="Times New Roman"/>
          <w:sz w:val="32"/>
          <w:szCs w:val="32"/>
        </w:rPr>
        <w:br/>
        <w:t>Онкогенные мутации RAS представляют собой точечные замены в кодонах 12 и 13 (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миссенс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-мутации) и проявляются в виде постоянной активности RAS-протеинов.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Активизирующие KRAS мутации наблюдаются у 20-25%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аденокарциномой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превалируют у курильщиков.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NRAS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гомологичны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KRAS, встречаются примерно у 1% пациентов с НМРЛ, преимущественно у курильщиков. Клиническое значение NRAS в настоящее время не установлено,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не разработано.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Мутации KRAS оказывают незначительное влияние на прогноз выживаемости. Ранее считалось, что они ассоциируются с неблагоприятным прогнозом. Наиболее широкомасштабное </w:t>
      </w:r>
      <w:r w:rsidRPr="00E14E82">
        <w:rPr>
          <w:rFonts w:ascii="Times New Roman" w:hAnsi="Times New Roman" w:cs="Times New Roman"/>
          <w:sz w:val="32"/>
          <w:szCs w:val="32"/>
        </w:rPr>
        <w:lastRenderedPageBreak/>
        <w:t xml:space="preserve">исследование в данной области заключалось в ретроспективном анализе статистических данных, собранных в 4 группах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раком легких общей численностью 1543 человека. Все пациенты получали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адъювантную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химиотерапию после резекции легкого, у 300 из них были идентифицированы мутации KRAS. Статистически значимых отличий в показателях выживаемости зафиксировано не было.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При анализе данных, собранных в группе пациентов с 4 стадией НМРЛ, отмечалась тенденция к ухудшению прогноза при наличии KRAS. Однако из-за гетерогенности контрольной группы, в состав которой входили также пациенты с EFGR мутациями (более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прогностически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благоприятными), вынести однозначное заключение о влиянии KRAS на выживаемость не представляется возможным.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Многочисленные попытки выделить специфические ингибиторы RAS не увенчались успехом. В настоящее время исследуется возможность воздействия на эффекторы 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активированных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KRAS: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Ингибитор MEK –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селуметиниб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У пациентов с KRAS мутациями, получавших лечение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доцетакселом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в группе, получавшей комбинированную терапию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доцетаксел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селуметиниб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, было зарегистрировано повышение показателей выживаемости, как общей, так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беспрогрессивной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Вместе с тем, комбинированная терапия сопровождалась более выраженными токсическими побочными эффектами: субфебрильной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нейтропенией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, диареей, тошнотой, рвотой, сыпью.</w:t>
      </w:r>
      <w:r w:rsidRPr="00E14E8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Преклинические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исследования на генетически модифицированных лабораторных мышах продемонстрировали, что опухоли, содержащие исключительно KRAS мутации, в большей степени восприимчивы к комбинированной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доцетакселом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селуметинибом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В то же время, сочетание KRAS и p53 характеризуется умеренной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сенситивностью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, а KRAS и LBK1 – резистентностью. По-видимому, эффективность терапии в данном случае определяется наличием комплекса мутаци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>«пассажиров»;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lastRenderedPageBreak/>
        <w:t xml:space="preserve">Ингибитор MEK –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траметиниб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Положительный эффект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траметинибом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зафиксирован в группе пациентов с НМРЛ, однако убедительного доказательства его связи с наличием мутаций KRAS получить не удалось;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Для пациентов, лишенных возможности принимать участие в клинических испытаниях, рекомендации относительно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немелкоклеточного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рака легких с KRAS идентичны рекомендациям для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аденокарциномой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неустановленного генотипа.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HER2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HER2 (ERBB2) –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рецептор группы EFGR. Мутации в гене HER2 отмечаются у 1-2% пациентов с НМРЛ. Они, как правило, представляют собой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инсерционные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мутации в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экзоне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(реже – точечные мутации). Опухоли относятся к типу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аденокарционом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, мутации чаще наблюдаются у женщин, а также у некурящих пациентов (никогда не куривших).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Амплификации HER2 не относятся к категории драйверных мутаций, и предыдущие исследования продемонстрировали отсутствие клинического эффекта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трастузумабом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у пациентов с амплификациями HER2.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В рамках новой серии клинических испытаний был зарегистрирован частичный положительный эффект у пациентов, получавших комбинированное лечение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трастузумабом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и цитостатическими средствами, а также в группе, принимавшей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афатиниб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– ингибитор EGFR/HER2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Частичная положительная реакция также отмечалась у пациентов с НМРЛ и мутациями HER2 при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нератинибом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(pan-HER2 ингибитор)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темсиролимусом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(m-TOR ингибитор).</w:t>
      </w:r>
    </w:p>
    <w:p w:rsidR="002B543E" w:rsidRDefault="002B543E" w:rsidP="00E14E82">
      <w:pPr>
        <w:rPr>
          <w:rFonts w:ascii="Times New Roman" w:hAnsi="Times New Roman" w:cs="Times New Roman"/>
          <w:sz w:val="32"/>
          <w:szCs w:val="32"/>
        </w:rPr>
      </w:pPr>
    </w:p>
    <w:p w:rsidR="002B543E" w:rsidRDefault="002B543E" w:rsidP="00E14E82">
      <w:pPr>
        <w:rPr>
          <w:rFonts w:ascii="Times New Roman" w:hAnsi="Times New Roman" w:cs="Times New Roman"/>
          <w:sz w:val="32"/>
          <w:szCs w:val="32"/>
        </w:rPr>
      </w:pP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lastRenderedPageBreak/>
        <w:t>BRAF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BRAF кодирует синтез протеина B-RAF, являющегося медиатором KRAS, </w:t>
      </w:r>
      <w:proofErr w:type="gramStart"/>
      <w:r w:rsidRPr="00E14E82">
        <w:rPr>
          <w:rFonts w:ascii="Times New Roman" w:hAnsi="Times New Roman" w:cs="Times New Roman"/>
          <w:sz w:val="32"/>
          <w:szCs w:val="32"/>
        </w:rPr>
        <w:t>активирующих</w:t>
      </w:r>
      <w:proofErr w:type="gramEnd"/>
      <w:r w:rsidRPr="00E14E82">
        <w:rPr>
          <w:rFonts w:ascii="Times New Roman" w:hAnsi="Times New Roman" w:cs="Times New Roman"/>
          <w:sz w:val="32"/>
          <w:szCs w:val="32"/>
        </w:rPr>
        <w:t xml:space="preserve"> MAP-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киназный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каскад. Мутации BRAF присутствуют у 1-3% пациентов с НМРЛ, преимущественно у курильщиков и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аденокарциномой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Активация B-RAF наблюдается в результате мутации в позиции V600 на 15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экзоне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(аналогичная мутация наблюдается у пациентов с меланомой) или на других участках.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Как свидетельствуют данные, собранные в ходе 1-2 фазы клинических испытаний, частичная положительная реакция отмечается у пациентов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немелкоклеточным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раком легких и мутацией V600E, получавших терапию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дабрафенибом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– ингибитором BRAF. Побочные эффекты терапии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дабрафенибом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НМРЛ схожи с реакциями, наблюдавшимися у пациентов с меланомой, получавших аналогичное лечение.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Другая стратегия лечения заключается в использовании ингибиторов MEK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(см. раздел «Мутации RAS»).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Экспрессия MET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MET –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рецептор фактора роста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гепатоцитов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Мутации в гене MET у пациентов с НМРЛ встречаются редко и их клиническое значение изучено недостаточно. В то же время,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гиперэкспрессия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MET отмечается в 25-75% случаев НМРЛ и, как правило, представляет собой неблагоприятный прогностический признак.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Положительные эффекты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таргетной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терапии рака легких были зафиксированы в рамках клинических испытаний. Препараты: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Тиватиниб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– ингибитор MET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тирозинкиназы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>;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Онартузумаб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в комбинации с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эрлотинибом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Онартузумаб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– одновалентное антитело, селективно связывающееся с внеклеточным доменом MET;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lastRenderedPageBreak/>
        <w:t>Кризотиниб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– препарат, блокирующий ALK и ROS1, обладающий потенциалом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ингибиции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MET у пациентов с MET-амплификациями.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Амплификация FGFR1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 xml:space="preserve">Рецептор фактора роста фибробластов (FGFR1) –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тирозинкиназный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мембранный рецептор, принимающий участие в процессах выживаемости клетки и пролиферации. Амплификации FGFR1 присутствуют у 13-25% пациентов с плоскоклеточным раком легкого. Они чаще наблюдаются у курильщиков и ассоциируются с неблагоприятным прогнозом.</w:t>
      </w:r>
    </w:p>
    <w:p w:rsidR="00E14E82" w:rsidRP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Таргетные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препараты находятся в стадии разработки. Описан случай регрессии опухоли при терапии ингибитором FGFR1тирокиназы – препаратом BGJ398.</w:t>
      </w:r>
    </w:p>
    <w:p w:rsidR="00E14E82" w:rsidRDefault="00E14E82" w:rsidP="00E14E82">
      <w:pPr>
        <w:rPr>
          <w:rFonts w:ascii="Times New Roman" w:hAnsi="Times New Roman" w:cs="Times New Roman"/>
          <w:sz w:val="32"/>
          <w:szCs w:val="32"/>
        </w:rPr>
      </w:pPr>
      <w:r w:rsidRPr="00E14E82">
        <w:rPr>
          <w:rFonts w:ascii="Times New Roman" w:hAnsi="Times New Roman" w:cs="Times New Roman"/>
          <w:sz w:val="32"/>
          <w:szCs w:val="32"/>
        </w:rPr>
        <w:t>Наиболее известными 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fldChar w:fldCharType="begin"/>
      </w:r>
      <w:r w:rsidRPr="00E14E82">
        <w:rPr>
          <w:rFonts w:ascii="Times New Roman" w:hAnsi="Times New Roman" w:cs="Times New Roman"/>
          <w:sz w:val="32"/>
          <w:szCs w:val="32"/>
        </w:rPr>
        <w:instrText xml:space="preserve"> HYPERLINK "https://hmcisrael.com/%d0%b4%d0%b8%d0%b0%d0%b3%d0%bd%d0%be%d1%81%d1%82%d0%b8%d0%ba%d0%b0-%d0%b2-%d0%b8%d0%b7%d1%80%d0%b0%d0%b8%d0%bb%d0%b5/%d0%be%d0%bd%d0%ba%d0%be%d0%bc%d0%b0%d1%80%d0%ba%d0%b5%d1%80%d1%8b/" \o "Онкомаркеры" </w:instrText>
      </w:r>
      <w:r w:rsidRPr="00E14E82">
        <w:rPr>
          <w:rFonts w:ascii="Times New Roman" w:hAnsi="Times New Roman" w:cs="Times New Roman"/>
          <w:sz w:val="32"/>
          <w:szCs w:val="32"/>
        </w:rPr>
        <w:fldChar w:fldCharType="separate"/>
      </w:r>
      <w:r w:rsidRPr="00E14E82">
        <w:rPr>
          <w:rStyle w:val="a5"/>
          <w:rFonts w:ascii="Times New Roman" w:hAnsi="Times New Roman" w:cs="Times New Roman"/>
          <w:sz w:val="32"/>
          <w:szCs w:val="32"/>
        </w:rPr>
        <w:t>онкомаркерами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fldChar w:fldCharType="end"/>
      </w:r>
      <w:r w:rsidRPr="00E14E82">
        <w:rPr>
          <w:rFonts w:ascii="Times New Roman" w:hAnsi="Times New Roman" w:cs="Times New Roman"/>
          <w:sz w:val="32"/>
          <w:szCs w:val="32"/>
        </w:rPr>
        <w:t xml:space="preserve"> являются мутации EFGR и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транслокации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ALK. Идентификация данных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онкомаркеров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легла в основу разработки высокоспецифичных </w:t>
      </w:r>
      <w:proofErr w:type="spellStart"/>
      <w:r w:rsidRPr="00E14E82">
        <w:rPr>
          <w:rFonts w:ascii="Times New Roman" w:hAnsi="Times New Roman" w:cs="Times New Roman"/>
          <w:sz w:val="32"/>
          <w:szCs w:val="32"/>
        </w:rPr>
        <w:t>таргетных</w:t>
      </w:r>
      <w:proofErr w:type="spellEnd"/>
      <w:r w:rsidRPr="00E14E82">
        <w:rPr>
          <w:rFonts w:ascii="Times New Roman" w:hAnsi="Times New Roman" w:cs="Times New Roman"/>
          <w:sz w:val="32"/>
          <w:szCs w:val="32"/>
        </w:rPr>
        <w:t xml:space="preserve"> средств, применение которых позволило добиться значительных успехов при </w:t>
      </w:r>
      <w:hyperlink r:id="rId9" w:tooltip="Лечение рака легких" w:history="1">
        <w:r w:rsidRPr="00E14E82">
          <w:rPr>
            <w:rStyle w:val="a5"/>
            <w:rFonts w:ascii="Times New Roman" w:hAnsi="Times New Roman" w:cs="Times New Roman"/>
            <w:sz w:val="32"/>
            <w:szCs w:val="32"/>
          </w:rPr>
          <w:t>лечении рака легких</w:t>
        </w:r>
      </w:hyperlink>
      <w:r w:rsidRPr="00E14E82">
        <w:rPr>
          <w:rFonts w:ascii="Times New Roman" w:hAnsi="Times New Roman" w:cs="Times New Roman"/>
          <w:sz w:val="32"/>
          <w:szCs w:val="32"/>
        </w:rPr>
        <w:t>.</w:t>
      </w:r>
    </w:p>
    <w:p w:rsidR="00513B31" w:rsidRDefault="00513B31" w:rsidP="00E14E82">
      <w:pPr>
        <w:rPr>
          <w:rFonts w:ascii="Times New Roman" w:hAnsi="Times New Roman" w:cs="Times New Roman"/>
          <w:sz w:val="32"/>
          <w:szCs w:val="32"/>
        </w:rPr>
      </w:pPr>
    </w:p>
    <w:p w:rsidR="00513B31" w:rsidRDefault="00513B31" w:rsidP="00E14E82">
      <w:pPr>
        <w:rPr>
          <w:rFonts w:ascii="Times New Roman" w:hAnsi="Times New Roman" w:cs="Times New Roman"/>
          <w:sz w:val="32"/>
          <w:szCs w:val="32"/>
        </w:rPr>
      </w:pPr>
    </w:p>
    <w:p w:rsidR="00513B31" w:rsidRPr="00513B31" w:rsidRDefault="00513B31" w:rsidP="00E14E8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13B31">
        <w:rPr>
          <w:rFonts w:ascii="Times New Roman" w:hAnsi="Times New Roman" w:cs="Times New Roman"/>
          <w:sz w:val="32"/>
          <w:szCs w:val="32"/>
        </w:rPr>
        <w:t>Список литературы</w:t>
      </w:r>
    </w:p>
    <w:p w:rsidR="00513B31" w:rsidRPr="00513B31" w:rsidRDefault="00513B31" w:rsidP="00E14E8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13B31">
        <w:rPr>
          <w:rFonts w:ascii="Times New Roman" w:hAnsi="Times New Roman" w:cs="Times New Roman"/>
        </w:rPr>
        <w:t xml:space="preserve">1. Алексеев Б. Я. </w:t>
      </w:r>
      <w:proofErr w:type="spellStart"/>
      <w:r w:rsidRPr="00513B31">
        <w:rPr>
          <w:rFonts w:ascii="Times New Roman" w:hAnsi="Times New Roman" w:cs="Times New Roman"/>
        </w:rPr>
        <w:t>Калпинский</w:t>
      </w:r>
      <w:proofErr w:type="spellEnd"/>
      <w:r w:rsidRPr="00513B31">
        <w:rPr>
          <w:rFonts w:ascii="Times New Roman" w:hAnsi="Times New Roman" w:cs="Times New Roman"/>
        </w:rPr>
        <w:t xml:space="preserve"> А. С. // Русский медицинский журнал. – 2008. – № 27. – С. 1824–1828. 2. Жукова Л. Г. // Практическая онкология. – 2010. – Т. 11, № 3. – С. 182–191. 3. </w:t>
      </w:r>
      <w:proofErr w:type="spellStart"/>
      <w:r w:rsidRPr="00513B31">
        <w:rPr>
          <w:rFonts w:ascii="Times New Roman" w:hAnsi="Times New Roman" w:cs="Times New Roman"/>
        </w:rPr>
        <w:t>Имянитов</w:t>
      </w:r>
      <w:proofErr w:type="spellEnd"/>
      <w:r w:rsidRPr="00513B31">
        <w:rPr>
          <w:rFonts w:ascii="Times New Roman" w:hAnsi="Times New Roman" w:cs="Times New Roman"/>
        </w:rPr>
        <w:t xml:space="preserve"> Е. Н. // Практическая онкология. – 2010. – Т. 11, № 3. – С. 123–130. 4. </w:t>
      </w:r>
      <w:proofErr w:type="spellStart"/>
      <w:r w:rsidRPr="00513B31">
        <w:rPr>
          <w:rFonts w:ascii="Times New Roman" w:hAnsi="Times New Roman" w:cs="Times New Roman"/>
        </w:rPr>
        <w:t>Корман</w:t>
      </w:r>
      <w:proofErr w:type="spellEnd"/>
      <w:r w:rsidRPr="00513B31">
        <w:rPr>
          <w:rFonts w:ascii="Times New Roman" w:hAnsi="Times New Roman" w:cs="Times New Roman"/>
        </w:rPr>
        <w:t xml:space="preserve"> Д. Б. Основы противоопухолевой терапии. – М.: Практическая медицина, 2006. – 512 с. 5. Новик А. В. // Практическая онкология. – 2010. – Т. 11, № 3. – С. 131–142. 6. Новик А. В., Моисеенко В. М. // Практическая онкология. – 2007. – Т. 8, № 3. – С. 109–117. </w:t>
      </w:r>
      <w:r w:rsidRPr="00513B31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513B31">
        <w:rPr>
          <w:rFonts w:ascii="Times New Roman" w:hAnsi="Times New Roman" w:cs="Times New Roman"/>
          <w:lang w:val="en-US"/>
        </w:rPr>
        <w:t>Aita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513B31">
        <w:rPr>
          <w:rFonts w:ascii="Times New Roman" w:hAnsi="Times New Roman" w:cs="Times New Roman"/>
          <w:lang w:val="en-US"/>
        </w:rPr>
        <w:t>Fasola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513B31">
        <w:rPr>
          <w:rFonts w:ascii="Times New Roman" w:hAnsi="Times New Roman" w:cs="Times New Roman"/>
          <w:lang w:val="en-US"/>
        </w:rPr>
        <w:t>Defferrari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C., et al. // Crit. Rev. </w:t>
      </w:r>
      <w:proofErr w:type="spellStart"/>
      <w:r w:rsidRPr="00513B31">
        <w:rPr>
          <w:rFonts w:ascii="Times New Roman" w:hAnsi="Times New Roman" w:cs="Times New Roman"/>
          <w:lang w:val="en-US"/>
        </w:rPr>
        <w:t>Oncol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13B31">
        <w:rPr>
          <w:rFonts w:ascii="Times New Roman" w:hAnsi="Times New Roman" w:cs="Times New Roman"/>
          <w:lang w:val="en-US"/>
        </w:rPr>
        <w:t>Hematol</w:t>
      </w:r>
      <w:proofErr w:type="spellEnd"/>
      <w:r w:rsidRPr="00513B31">
        <w:rPr>
          <w:rFonts w:ascii="Times New Roman" w:hAnsi="Times New Roman" w:cs="Times New Roman"/>
          <w:lang w:val="en-US"/>
        </w:rPr>
        <w:t>.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 – 2008. – Vol. 68. – P. 183–196. 8. </w:t>
      </w:r>
      <w:proofErr w:type="spellStart"/>
      <w:r w:rsidRPr="00513B31">
        <w:rPr>
          <w:rFonts w:ascii="Times New Roman" w:hAnsi="Times New Roman" w:cs="Times New Roman"/>
          <w:lang w:val="en-US"/>
        </w:rPr>
        <w:t>Cutsem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Van E., Lang I., </w:t>
      </w:r>
      <w:proofErr w:type="spellStart"/>
      <w:r w:rsidRPr="00513B31">
        <w:rPr>
          <w:rFonts w:ascii="Times New Roman" w:hAnsi="Times New Roman" w:cs="Times New Roman"/>
          <w:lang w:val="en-US"/>
        </w:rPr>
        <w:t>Folprecht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G., et al. // J. </w:t>
      </w:r>
      <w:proofErr w:type="spellStart"/>
      <w:r w:rsidRPr="00513B31">
        <w:rPr>
          <w:rFonts w:ascii="Times New Roman" w:hAnsi="Times New Roman" w:cs="Times New Roman"/>
          <w:lang w:val="en-US"/>
        </w:rPr>
        <w:t>Clin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13B31">
        <w:rPr>
          <w:rFonts w:ascii="Times New Roman" w:hAnsi="Times New Roman" w:cs="Times New Roman"/>
          <w:lang w:val="en-US"/>
        </w:rPr>
        <w:t>Oncol</w:t>
      </w:r>
      <w:proofErr w:type="spellEnd"/>
      <w:r w:rsidRPr="00513B31">
        <w:rPr>
          <w:rFonts w:ascii="Times New Roman" w:hAnsi="Times New Roman" w:cs="Times New Roman"/>
          <w:lang w:val="en-US"/>
        </w:rPr>
        <w:t>.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13B31">
        <w:rPr>
          <w:rFonts w:ascii="Times New Roman" w:hAnsi="Times New Roman" w:cs="Times New Roman"/>
          <w:lang w:val="en-US"/>
        </w:rPr>
        <w:t>Gastrointestinal Cancers Symposium.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 – 2010. – Vol. 281. – P. 4000. 9. </w:t>
      </w:r>
      <w:proofErr w:type="spellStart"/>
      <w:r w:rsidRPr="00513B31">
        <w:rPr>
          <w:rFonts w:ascii="Times New Roman" w:hAnsi="Times New Roman" w:cs="Times New Roman"/>
          <w:lang w:val="en-US"/>
        </w:rPr>
        <w:t>Grothey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513B31">
        <w:rPr>
          <w:rFonts w:ascii="Times New Roman" w:hAnsi="Times New Roman" w:cs="Times New Roman"/>
          <w:lang w:val="en-US"/>
        </w:rPr>
        <w:t>Galanis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E. // Nat. Rev. </w:t>
      </w:r>
      <w:proofErr w:type="spellStart"/>
      <w:r w:rsidRPr="00513B31">
        <w:rPr>
          <w:rFonts w:ascii="Times New Roman" w:hAnsi="Times New Roman" w:cs="Times New Roman"/>
          <w:lang w:val="en-US"/>
        </w:rPr>
        <w:t>Clin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513B31">
        <w:rPr>
          <w:rFonts w:ascii="Times New Roman" w:hAnsi="Times New Roman" w:cs="Times New Roman"/>
          <w:lang w:val="en-US"/>
        </w:rPr>
        <w:t>Oncol</w:t>
      </w:r>
      <w:proofErr w:type="spellEnd"/>
      <w:r w:rsidRPr="00513B31">
        <w:rPr>
          <w:rFonts w:ascii="Times New Roman" w:hAnsi="Times New Roman" w:cs="Times New Roman"/>
          <w:lang w:val="en-US"/>
        </w:rPr>
        <w:t>.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 – 2009. – Vol. 6. – </w:t>
      </w:r>
      <w:proofErr w:type="gramStart"/>
      <w:r w:rsidRPr="00513B31">
        <w:rPr>
          <w:rFonts w:ascii="Times New Roman" w:hAnsi="Times New Roman" w:cs="Times New Roman"/>
        </w:rPr>
        <w:t>Р</w:t>
      </w:r>
      <w:r w:rsidRPr="00513B31">
        <w:rPr>
          <w:rFonts w:ascii="Times New Roman" w:hAnsi="Times New Roman" w:cs="Times New Roman"/>
          <w:lang w:val="en-US"/>
        </w:rPr>
        <w:t>. 507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–518. 10. </w:t>
      </w:r>
      <w:proofErr w:type="spellStart"/>
      <w:r w:rsidRPr="00513B31">
        <w:rPr>
          <w:rFonts w:ascii="Times New Roman" w:hAnsi="Times New Roman" w:cs="Times New Roman"/>
          <w:lang w:val="en-US"/>
        </w:rPr>
        <w:t>Hudis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C. A. // N. Engl. J. Med. – 2007. – Vol. 357. – P. 39–51. 11. Keane T., </w:t>
      </w:r>
      <w:proofErr w:type="spellStart"/>
      <w:r w:rsidRPr="00513B31">
        <w:rPr>
          <w:rFonts w:ascii="Times New Roman" w:hAnsi="Times New Roman" w:cs="Times New Roman"/>
          <w:lang w:val="en-US"/>
        </w:rPr>
        <w:t>Gillatt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D., Evans C. P., et al. // Eur. Urol. – 2007. – Suppl. 6. – </w:t>
      </w:r>
      <w:proofErr w:type="gramStart"/>
      <w:r w:rsidRPr="00513B31">
        <w:rPr>
          <w:rFonts w:ascii="Times New Roman" w:hAnsi="Times New Roman" w:cs="Times New Roman"/>
        </w:rPr>
        <w:t>Р</w:t>
      </w:r>
      <w:r w:rsidRPr="00513B31">
        <w:rPr>
          <w:rFonts w:ascii="Times New Roman" w:hAnsi="Times New Roman" w:cs="Times New Roman"/>
          <w:lang w:val="en-US"/>
        </w:rPr>
        <w:t>. 374</w:t>
      </w:r>
      <w:proofErr w:type="gramEnd"/>
      <w:r w:rsidRPr="00513B31">
        <w:rPr>
          <w:rFonts w:ascii="Times New Roman" w:hAnsi="Times New Roman" w:cs="Times New Roman"/>
          <w:lang w:val="en-US"/>
        </w:rPr>
        <w:t xml:space="preserve">–384. 12. </w:t>
      </w:r>
      <w:proofErr w:type="spellStart"/>
      <w:r w:rsidRPr="00513B31">
        <w:rPr>
          <w:rFonts w:ascii="Times New Roman" w:hAnsi="Times New Roman" w:cs="Times New Roman"/>
          <w:lang w:val="en-US"/>
        </w:rPr>
        <w:t>Levchenko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E. V., </w:t>
      </w:r>
      <w:proofErr w:type="spellStart"/>
      <w:r w:rsidRPr="00513B31">
        <w:rPr>
          <w:rFonts w:ascii="Times New Roman" w:hAnsi="Times New Roman" w:cs="Times New Roman"/>
          <w:lang w:val="en-US"/>
        </w:rPr>
        <w:t>Moiseyenko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V. M., </w:t>
      </w:r>
      <w:proofErr w:type="spellStart"/>
      <w:r w:rsidRPr="00513B31">
        <w:rPr>
          <w:rFonts w:ascii="Times New Roman" w:hAnsi="Times New Roman" w:cs="Times New Roman"/>
          <w:lang w:val="en-US"/>
        </w:rPr>
        <w:t>Matsko</w:t>
      </w:r>
      <w:proofErr w:type="spellEnd"/>
      <w:r w:rsidRPr="00513B31">
        <w:rPr>
          <w:rFonts w:ascii="Times New Roman" w:hAnsi="Times New Roman" w:cs="Times New Roman"/>
          <w:lang w:val="en-US"/>
        </w:rPr>
        <w:t xml:space="preserve"> D. E., et al. // </w:t>
      </w:r>
      <w:proofErr w:type="spellStart"/>
      <w:r w:rsidRPr="00513B31">
        <w:rPr>
          <w:rFonts w:ascii="Times New Roman" w:hAnsi="Times New Roman" w:cs="Times New Roman"/>
          <w:lang w:val="en-US"/>
        </w:rPr>
        <w:t>Onkologie</w:t>
      </w:r>
      <w:proofErr w:type="spellEnd"/>
      <w:r w:rsidRPr="00513B31">
        <w:rPr>
          <w:rFonts w:ascii="Times New Roman" w:hAnsi="Times New Roman" w:cs="Times New Roman"/>
          <w:lang w:val="en-US"/>
        </w:rPr>
        <w:t>. – 2009. – Vol. 32. – P. 674–677.</w:t>
      </w:r>
    </w:p>
    <w:p w:rsidR="00E14E82" w:rsidRPr="00513B31" w:rsidRDefault="00E14E82" w:rsidP="00E14E8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14E82" w:rsidRPr="00513B31" w:rsidRDefault="00E14E82" w:rsidP="00E14E82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E14E82" w:rsidRPr="0051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454"/>
    <w:multiLevelType w:val="hybridMultilevel"/>
    <w:tmpl w:val="967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473"/>
    <w:multiLevelType w:val="multilevel"/>
    <w:tmpl w:val="775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3165B"/>
    <w:multiLevelType w:val="multilevel"/>
    <w:tmpl w:val="D17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06352"/>
    <w:multiLevelType w:val="multilevel"/>
    <w:tmpl w:val="1F1E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D1710"/>
    <w:multiLevelType w:val="multilevel"/>
    <w:tmpl w:val="CDAC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91EF8"/>
    <w:multiLevelType w:val="multilevel"/>
    <w:tmpl w:val="B2D0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C2239"/>
    <w:multiLevelType w:val="multilevel"/>
    <w:tmpl w:val="3E9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920D2"/>
    <w:multiLevelType w:val="multilevel"/>
    <w:tmpl w:val="A2BA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BA"/>
    <w:rsid w:val="00000585"/>
    <w:rsid w:val="000019C2"/>
    <w:rsid w:val="000073C3"/>
    <w:rsid w:val="0002258D"/>
    <w:rsid w:val="000309D8"/>
    <w:rsid w:val="00031318"/>
    <w:rsid w:val="000424AB"/>
    <w:rsid w:val="000530EF"/>
    <w:rsid w:val="00067265"/>
    <w:rsid w:val="00067C09"/>
    <w:rsid w:val="00072281"/>
    <w:rsid w:val="00073B2F"/>
    <w:rsid w:val="00077B9C"/>
    <w:rsid w:val="000954F3"/>
    <w:rsid w:val="000A46D7"/>
    <w:rsid w:val="000D7D5C"/>
    <w:rsid w:val="000E5351"/>
    <w:rsid w:val="000E6F29"/>
    <w:rsid w:val="000F1B40"/>
    <w:rsid w:val="001074AF"/>
    <w:rsid w:val="00113B73"/>
    <w:rsid w:val="00122201"/>
    <w:rsid w:val="001316AA"/>
    <w:rsid w:val="00147470"/>
    <w:rsid w:val="00153226"/>
    <w:rsid w:val="0016082A"/>
    <w:rsid w:val="001649BD"/>
    <w:rsid w:val="001804C4"/>
    <w:rsid w:val="00182DE3"/>
    <w:rsid w:val="00184DB8"/>
    <w:rsid w:val="001A1FB5"/>
    <w:rsid w:val="001A47F0"/>
    <w:rsid w:val="001B56C0"/>
    <w:rsid w:val="001B58CD"/>
    <w:rsid w:val="001B7DF4"/>
    <w:rsid w:val="001F2CC5"/>
    <w:rsid w:val="00204B09"/>
    <w:rsid w:val="0021329C"/>
    <w:rsid w:val="0025132F"/>
    <w:rsid w:val="00251A8B"/>
    <w:rsid w:val="00264A37"/>
    <w:rsid w:val="00266D53"/>
    <w:rsid w:val="00276328"/>
    <w:rsid w:val="002825FE"/>
    <w:rsid w:val="00295E12"/>
    <w:rsid w:val="002B543E"/>
    <w:rsid w:val="002B5518"/>
    <w:rsid w:val="002C0FCA"/>
    <w:rsid w:val="002C2CB6"/>
    <w:rsid w:val="002C4B92"/>
    <w:rsid w:val="002C7629"/>
    <w:rsid w:val="002C7784"/>
    <w:rsid w:val="002E11B8"/>
    <w:rsid w:val="002E2313"/>
    <w:rsid w:val="002F5185"/>
    <w:rsid w:val="0030383D"/>
    <w:rsid w:val="0031065F"/>
    <w:rsid w:val="00311ECC"/>
    <w:rsid w:val="00322777"/>
    <w:rsid w:val="003239BE"/>
    <w:rsid w:val="00323BCB"/>
    <w:rsid w:val="0032733E"/>
    <w:rsid w:val="003362DB"/>
    <w:rsid w:val="0033771F"/>
    <w:rsid w:val="0034103E"/>
    <w:rsid w:val="00343011"/>
    <w:rsid w:val="00361210"/>
    <w:rsid w:val="003764BA"/>
    <w:rsid w:val="00377554"/>
    <w:rsid w:val="0039118C"/>
    <w:rsid w:val="00394C8D"/>
    <w:rsid w:val="003A3ED7"/>
    <w:rsid w:val="003B6FAC"/>
    <w:rsid w:val="003C0ED5"/>
    <w:rsid w:val="003D0043"/>
    <w:rsid w:val="003D7624"/>
    <w:rsid w:val="00401F91"/>
    <w:rsid w:val="00430AFF"/>
    <w:rsid w:val="00460140"/>
    <w:rsid w:val="00465E7A"/>
    <w:rsid w:val="0048260F"/>
    <w:rsid w:val="00483B8D"/>
    <w:rsid w:val="004908C6"/>
    <w:rsid w:val="00494825"/>
    <w:rsid w:val="004B307D"/>
    <w:rsid w:val="004B58FD"/>
    <w:rsid w:val="004C45B3"/>
    <w:rsid w:val="004E0B4A"/>
    <w:rsid w:val="004F3B0B"/>
    <w:rsid w:val="00500F0F"/>
    <w:rsid w:val="00502021"/>
    <w:rsid w:val="0050312A"/>
    <w:rsid w:val="005119CC"/>
    <w:rsid w:val="00513B31"/>
    <w:rsid w:val="0051496E"/>
    <w:rsid w:val="005376F5"/>
    <w:rsid w:val="005670E6"/>
    <w:rsid w:val="00577D1E"/>
    <w:rsid w:val="00580043"/>
    <w:rsid w:val="00594DEC"/>
    <w:rsid w:val="005A7F74"/>
    <w:rsid w:val="005B170F"/>
    <w:rsid w:val="005B3C00"/>
    <w:rsid w:val="005B5A42"/>
    <w:rsid w:val="005E3B04"/>
    <w:rsid w:val="005F5F71"/>
    <w:rsid w:val="005F673B"/>
    <w:rsid w:val="0061112B"/>
    <w:rsid w:val="00620386"/>
    <w:rsid w:val="0065237F"/>
    <w:rsid w:val="00655039"/>
    <w:rsid w:val="0068138D"/>
    <w:rsid w:val="00694D6D"/>
    <w:rsid w:val="006A0C90"/>
    <w:rsid w:val="006C5601"/>
    <w:rsid w:val="006C5F92"/>
    <w:rsid w:val="006D348D"/>
    <w:rsid w:val="006D5918"/>
    <w:rsid w:val="006E231B"/>
    <w:rsid w:val="006F118D"/>
    <w:rsid w:val="00706A47"/>
    <w:rsid w:val="00725DE0"/>
    <w:rsid w:val="007379D4"/>
    <w:rsid w:val="00740EA2"/>
    <w:rsid w:val="007445C4"/>
    <w:rsid w:val="00762018"/>
    <w:rsid w:val="007634C6"/>
    <w:rsid w:val="00780E7E"/>
    <w:rsid w:val="00781BBC"/>
    <w:rsid w:val="007841BD"/>
    <w:rsid w:val="007912C5"/>
    <w:rsid w:val="007A2732"/>
    <w:rsid w:val="007B6793"/>
    <w:rsid w:val="007B6E81"/>
    <w:rsid w:val="007C5F98"/>
    <w:rsid w:val="007C657B"/>
    <w:rsid w:val="007E14EF"/>
    <w:rsid w:val="007E70AD"/>
    <w:rsid w:val="007F0CA0"/>
    <w:rsid w:val="008161F7"/>
    <w:rsid w:val="00822C95"/>
    <w:rsid w:val="00850933"/>
    <w:rsid w:val="00862458"/>
    <w:rsid w:val="00876EC0"/>
    <w:rsid w:val="0088104C"/>
    <w:rsid w:val="008A1210"/>
    <w:rsid w:val="008A5D2A"/>
    <w:rsid w:val="008A69E9"/>
    <w:rsid w:val="008B1A16"/>
    <w:rsid w:val="008C3E8F"/>
    <w:rsid w:val="008E45C8"/>
    <w:rsid w:val="008E5B0D"/>
    <w:rsid w:val="008F083D"/>
    <w:rsid w:val="008F6CBF"/>
    <w:rsid w:val="00900EEC"/>
    <w:rsid w:val="0091096F"/>
    <w:rsid w:val="00922532"/>
    <w:rsid w:val="009333F0"/>
    <w:rsid w:val="00935138"/>
    <w:rsid w:val="00951813"/>
    <w:rsid w:val="00963439"/>
    <w:rsid w:val="00964A82"/>
    <w:rsid w:val="00976D8D"/>
    <w:rsid w:val="009806D8"/>
    <w:rsid w:val="009946AF"/>
    <w:rsid w:val="00994C59"/>
    <w:rsid w:val="009B2198"/>
    <w:rsid w:val="009C2823"/>
    <w:rsid w:val="009C5114"/>
    <w:rsid w:val="009D2648"/>
    <w:rsid w:val="009D415D"/>
    <w:rsid w:val="00A01C29"/>
    <w:rsid w:val="00A072A9"/>
    <w:rsid w:val="00A20245"/>
    <w:rsid w:val="00A239EB"/>
    <w:rsid w:val="00A312FA"/>
    <w:rsid w:val="00A351F6"/>
    <w:rsid w:val="00A4000F"/>
    <w:rsid w:val="00A50705"/>
    <w:rsid w:val="00A61B7A"/>
    <w:rsid w:val="00A63679"/>
    <w:rsid w:val="00A74BCB"/>
    <w:rsid w:val="00A7588E"/>
    <w:rsid w:val="00A87C03"/>
    <w:rsid w:val="00A90402"/>
    <w:rsid w:val="00A922BD"/>
    <w:rsid w:val="00AC578F"/>
    <w:rsid w:val="00AD1547"/>
    <w:rsid w:val="00AE5836"/>
    <w:rsid w:val="00AF5EEB"/>
    <w:rsid w:val="00B25618"/>
    <w:rsid w:val="00B3027F"/>
    <w:rsid w:val="00B337E9"/>
    <w:rsid w:val="00B4126A"/>
    <w:rsid w:val="00B43B1F"/>
    <w:rsid w:val="00B60C3B"/>
    <w:rsid w:val="00B66DD4"/>
    <w:rsid w:val="00B72B11"/>
    <w:rsid w:val="00B73906"/>
    <w:rsid w:val="00B909D9"/>
    <w:rsid w:val="00BA53A1"/>
    <w:rsid w:val="00BC0088"/>
    <w:rsid w:val="00BC28E2"/>
    <w:rsid w:val="00BC74D5"/>
    <w:rsid w:val="00C16D72"/>
    <w:rsid w:val="00C3107D"/>
    <w:rsid w:val="00C32A85"/>
    <w:rsid w:val="00C379E0"/>
    <w:rsid w:val="00C43309"/>
    <w:rsid w:val="00C43327"/>
    <w:rsid w:val="00C51476"/>
    <w:rsid w:val="00C51616"/>
    <w:rsid w:val="00C5161C"/>
    <w:rsid w:val="00C60348"/>
    <w:rsid w:val="00C63A16"/>
    <w:rsid w:val="00C66C62"/>
    <w:rsid w:val="00C8148A"/>
    <w:rsid w:val="00C939D2"/>
    <w:rsid w:val="00C93B99"/>
    <w:rsid w:val="00CA442D"/>
    <w:rsid w:val="00CB15A7"/>
    <w:rsid w:val="00CB74E7"/>
    <w:rsid w:val="00CC3398"/>
    <w:rsid w:val="00CC5786"/>
    <w:rsid w:val="00CD2A45"/>
    <w:rsid w:val="00CD3DB0"/>
    <w:rsid w:val="00CD69FA"/>
    <w:rsid w:val="00CF1FF2"/>
    <w:rsid w:val="00D021DE"/>
    <w:rsid w:val="00D07F66"/>
    <w:rsid w:val="00D129B0"/>
    <w:rsid w:val="00D26860"/>
    <w:rsid w:val="00D444B4"/>
    <w:rsid w:val="00D570AE"/>
    <w:rsid w:val="00D57947"/>
    <w:rsid w:val="00D71669"/>
    <w:rsid w:val="00D77EA2"/>
    <w:rsid w:val="00D86D24"/>
    <w:rsid w:val="00D90CBB"/>
    <w:rsid w:val="00DB3DC7"/>
    <w:rsid w:val="00DC39B9"/>
    <w:rsid w:val="00DE0E25"/>
    <w:rsid w:val="00DF05FF"/>
    <w:rsid w:val="00E1005C"/>
    <w:rsid w:val="00E110A0"/>
    <w:rsid w:val="00E14E82"/>
    <w:rsid w:val="00E24F6E"/>
    <w:rsid w:val="00E26281"/>
    <w:rsid w:val="00E44C03"/>
    <w:rsid w:val="00E52760"/>
    <w:rsid w:val="00E639A3"/>
    <w:rsid w:val="00E9190B"/>
    <w:rsid w:val="00EA1176"/>
    <w:rsid w:val="00EA1266"/>
    <w:rsid w:val="00EA2CFB"/>
    <w:rsid w:val="00EB1338"/>
    <w:rsid w:val="00EB1CB9"/>
    <w:rsid w:val="00EB57AD"/>
    <w:rsid w:val="00EB5F85"/>
    <w:rsid w:val="00EB62C0"/>
    <w:rsid w:val="00EC0212"/>
    <w:rsid w:val="00ED1BB7"/>
    <w:rsid w:val="00EE125D"/>
    <w:rsid w:val="00EE151F"/>
    <w:rsid w:val="00EE4297"/>
    <w:rsid w:val="00EE5EB9"/>
    <w:rsid w:val="00EF0CF7"/>
    <w:rsid w:val="00F00752"/>
    <w:rsid w:val="00F00E75"/>
    <w:rsid w:val="00F42A7F"/>
    <w:rsid w:val="00F43345"/>
    <w:rsid w:val="00F51F15"/>
    <w:rsid w:val="00F73529"/>
    <w:rsid w:val="00F7459B"/>
    <w:rsid w:val="00F76EEA"/>
    <w:rsid w:val="00F81279"/>
    <w:rsid w:val="00FB5BE5"/>
    <w:rsid w:val="00FD2AFC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E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4E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4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1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E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1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E14E8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4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1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cisrael.com/%d0%b4%d0%b8%d0%b0%d0%b3%d0%bd%d0%be%d1%81%d1%82%d0%b8%d0%ba%d0%b0-%d0%b2-%d0%b8%d0%b7%d1%80%d0%b0%d0%b8%d0%bb%d0%b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monc.ru/services/treatment/osnovnye-napravleniia/immunoterap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monc.ru/services/treatment/chemotherapy/rak-legkik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mcisrael.com/operation/%d0%bb%d0%b5%d1%87%d0%b5%d0%bd%d0%b8%d0%b5-%d1%80%d0%b0%d0%ba%d0%b0-%d0%bb%d0%b5%d0%b3%d0%ba%d0%b8%d1%85-%d0%b2-%d0%b8%d0%b7%d1%80%d0%b0%d0%b8%d0%bb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2021-01-30T07:11:00Z</dcterms:created>
  <dcterms:modified xsi:type="dcterms:W3CDTF">2021-01-30T07:11:00Z</dcterms:modified>
</cp:coreProperties>
</file>