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5" w:rsidRDefault="009D4CA5" w:rsidP="00973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4C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Шмидт Вероника Андреевна 202-1</w:t>
      </w:r>
    </w:p>
    <w:p w:rsidR="0097376F" w:rsidRPr="00D62B9C" w:rsidRDefault="0097376F" w:rsidP="0097376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0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№ 2.  (18 часов). </w:t>
      </w:r>
      <w:r w:rsidRPr="00B605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Лекарственные средства. Анализ ассортимента. </w:t>
      </w:r>
      <w:r w:rsidRPr="00D62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Хранение. Реализация.</w:t>
      </w:r>
    </w:p>
    <w:p w:rsidR="00D62B9C" w:rsidRDefault="00D62B9C" w:rsidP="00D62B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2B9C" w:rsidRPr="00D62B9C" w:rsidRDefault="00D62B9C" w:rsidP="00D62B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62B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Лекарственные средства</w:t>
      </w:r>
      <w:r w:rsidRPr="00D6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</w:t>
      </w:r>
      <w:proofErr w:type="gramEnd"/>
      <w:r w:rsidRPr="00D62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препараты;</w:t>
      </w:r>
    </w:p>
    <w:p w:rsidR="0097376F" w:rsidRPr="00B60536" w:rsidRDefault="0097376F" w:rsidP="0097376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76F" w:rsidRPr="00B60536" w:rsidRDefault="0097376F" w:rsidP="0097376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05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1.Анализ ассортимента лекарственных групп: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409"/>
        <w:gridCol w:w="2268"/>
        <w:gridCol w:w="1701"/>
      </w:tblGrid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Фармако</w:t>
            </w:r>
            <w:proofErr w:type="spellEnd"/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Терапевтическая группа 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ТН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МНН</w:t>
            </w: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Код 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АТХ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Противоаллергическое</w:t>
            </w:r>
            <w:proofErr w:type="gram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средство-Н1 </w:t>
            </w: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гистаминовых</w:t>
            </w:r>
            <w:proofErr w:type="spell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рецепторов </w:t>
            </w: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блокатор</w:t>
            </w:r>
            <w:proofErr w:type="spell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Фексадин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Фексофенадин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R06AX26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Противовирусное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Тамифлю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7376F" w:rsidRPr="00B60536" w:rsidRDefault="0097376F" w:rsidP="00B605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Осельтамивир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J05AH02</w:t>
            </w:r>
          </w:p>
        </w:tc>
      </w:tr>
      <w:tr w:rsidR="0097376F" w:rsidRPr="00B60536" w:rsidTr="00B60536">
        <w:trPr>
          <w:trHeight w:val="2116"/>
        </w:trPr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Жаропонижающее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Парацетамол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Парацетамол</w:t>
            </w: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N02BE01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Противогрибковое средство 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Микамин</w:t>
            </w:r>
            <w:proofErr w:type="spellEnd"/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Микафунгин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J02AX05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Отхаркивающее </w:t>
            </w: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муколитическое</w:t>
            </w:r>
            <w:proofErr w:type="spell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средство 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АЦЦ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Ацнтилцистеин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R05CB01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Антисептическое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Перекись водорода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Перекись водорода</w:t>
            </w: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B60536">
              <w:rPr>
                <w:rStyle w:val="block-content"/>
                <w:rFonts w:ascii="Times New Roman" w:hAnsi="Times New Roman"/>
                <w:color w:val="000000" w:themeColor="text1"/>
                <w:sz w:val="28"/>
                <w:szCs w:val="28"/>
              </w:rPr>
              <w:t>D08AX01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Снотворное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N03AA02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Мочегонное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Диакарб</w:t>
            </w:r>
            <w:proofErr w:type="spellEnd"/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Ацетазоломид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S01EC01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Диуретическое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Гипотиазид</w:t>
            </w:r>
            <w:proofErr w:type="spell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С03АА03</w:t>
            </w: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Противоаритмическое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Новокаинамид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C01BA02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Сосудорасширяющие средства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Дибазол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Бендазол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C04AX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Сердечные гликозиды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Дигитек</w:t>
            </w:r>
            <w:proofErr w:type="spellEnd"/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C01AA05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376F" w:rsidRPr="00B60536" w:rsidTr="00B60536"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Местноанестезирующее</w:t>
            </w:r>
            <w:proofErr w:type="spellEnd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Новокаин</w:t>
            </w: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Прокаин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N01BA02 </w:t>
            </w:r>
          </w:p>
        </w:tc>
      </w:tr>
      <w:tr w:rsidR="0097376F" w:rsidRPr="00B60536" w:rsidTr="00B60536">
        <w:trPr>
          <w:trHeight w:val="2683"/>
        </w:trPr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Анальгезирующее средство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Омнопон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Кодеин+Морфин+Носкапин+</w:t>
            </w:r>
            <w:proofErr w:type="spellEnd"/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Папаверина  </w:t>
            </w: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гидрохлорид+</w:t>
            </w:r>
            <w:proofErr w:type="spellEnd"/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Тебаин</w:t>
            </w:r>
            <w:proofErr w:type="spellEnd"/>
          </w:p>
        </w:tc>
        <w:tc>
          <w:tcPr>
            <w:tcW w:w="1701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N02AX</w:t>
            </w:r>
          </w:p>
        </w:tc>
      </w:tr>
      <w:tr w:rsidR="0097376F" w:rsidRPr="00B60536" w:rsidTr="00B60536">
        <w:trPr>
          <w:trHeight w:val="2683"/>
        </w:trPr>
        <w:tc>
          <w:tcPr>
            <w:tcW w:w="326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НПВП</w:t>
            </w:r>
          </w:p>
        </w:tc>
        <w:tc>
          <w:tcPr>
            <w:tcW w:w="2409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Нурофен</w:t>
            </w:r>
            <w:proofErr w:type="spellEnd"/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Ибупрофен 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76F" w:rsidRPr="00B60536" w:rsidRDefault="0097376F" w:rsidP="00B605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05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М01АЕ01</w:t>
            </w: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376F" w:rsidRPr="00B60536" w:rsidRDefault="0097376F" w:rsidP="00B605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7376F" w:rsidRPr="00B60536" w:rsidRDefault="0097376F" w:rsidP="0097376F">
      <w:pPr>
        <w:pStyle w:val="a3"/>
        <w:suppressAutoHyphens/>
        <w:spacing w:after="0" w:line="240" w:lineRule="auto"/>
        <w:ind w:left="178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FC0" w:rsidRDefault="00011D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Правила маркировки ЛС в соответствии с Федеральным законом от 12.04.2010  № 61-ФЗ «Об обращении лекарственных средств».</w:t>
      </w:r>
    </w:p>
    <w:p w:rsidR="00011D0D" w:rsidRPr="00011D0D" w:rsidRDefault="001C1BA0" w:rsidP="00011D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11D0D"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Лекарственные препараты, за 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</w:t>
      </w:r>
      <w:r w:rsidR="00011D0D"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лицензию на фармацевтическую деятельность, должны поступать в обращение, если:</w:t>
      </w:r>
    </w:p>
    <w:p w:rsidR="00011D0D" w:rsidRPr="00011D0D" w:rsidRDefault="00011D0D" w:rsidP="00011D0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497"/>
      <w:bookmarkEnd w:id="0"/>
      <w:proofErr w:type="gramStart"/>
      <w:r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 их первичной упаковке (за исключением первичной упаковки лекарственных растительных препаратов) хорошо читаемым шрифтом на русском языке указаны наименование лекарственного препарата (международное непатентованное, или </w:t>
      </w:r>
      <w:proofErr w:type="spellStart"/>
      <w:r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группировочное</w:t>
      </w:r>
      <w:proofErr w:type="spellEnd"/>
      <w:r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единицах действия или количество доз;</w:t>
      </w:r>
      <w:proofErr w:type="gramEnd"/>
    </w:p>
    <w:p w:rsidR="00011D0D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proofErr w:type="gramStart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на их вторичной (потребительской) упаковке хорошо читаемым шрифтом на русском языке указаны наименование лекарственного препарат</w:t>
      </w:r>
      <w:r w:rsid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(МНН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или </w:t>
      </w:r>
      <w:proofErr w:type="spellStart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группировочное</w:t>
      </w:r>
      <w:proofErr w:type="spellEnd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хи</w:t>
      </w:r>
      <w:r w:rsid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мическое и ТН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</w:t>
      </w:r>
      <w:proofErr w:type="gramEnd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хранения, предупредительные надписи.</w:t>
      </w:r>
    </w:p>
    <w:p w:rsidR="00011D0D" w:rsidRPr="00011D0D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Фармацевтические субстанции должны поступать в обращение, если на их первичной упаковке хорошо читаемым шрифтом на русском языке указаны наименование фармацевтической субстанции (международное непатентованное, или </w:t>
      </w:r>
      <w:proofErr w:type="spellStart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группировочное</w:t>
      </w:r>
      <w:proofErr w:type="spellEnd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химическое и торговое наименования), наименование производителя фармацевтической субстанции, номер серии и дата изготовления, количество в упаковке и единицы измерения количества, срок годности и условия хранения.</w:t>
      </w:r>
      <w:proofErr w:type="gramEnd"/>
    </w:p>
    <w:p w:rsidR="00011D0D" w:rsidRPr="00011D0D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Лекарственные средства в качестве сывороток должны поступать в обращение с указанием животного, из крови, плазмы крови, органов и тканей которого они получены.</w:t>
      </w:r>
    </w:p>
    <w:p w:rsidR="00011D0D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вторичную (потребительскую) упаковку лекарственных средств, полученных из крови, плазмы крови, органов и тканей человека, должна наноситься надпись: "Антитела к ВИЧ-1, ВИЧ-2, к вирусу гепатита C и поверхностный антиген вируса гепатита B отсутствуют".</w:t>
      </w:r>
    </w:p>
    <w:p w:rsidR="001C1BA0" w:rsidRDefault="001C1BA0" w:rsidP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первичную упаковку и вторичную (потребительскую) упаковку </w:t>
      </w:r>
      <w:proofErr w:type="spellStart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радиофармацевтических</w:t>
      </w:r>
      <w:proofErr w:type="spellEnd"/>
      <w:r w:rsidR="00011D0D" w:rsidRPr="00011D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лекарственных средств должен наноситься знак радиационной опасности.</w:t>
      </w:r>
    </w:p>
    <w:p w:rsidR="00011D0D" w:rsidRPr="00011D0D" w:rsidRDefault="001C1BA0" w:rsidP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011D0D"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вторичную (потребительскую) упаковку гомеопатических лекарственных препаратов должна наноситься надпись: "Гомеопатический".</w:t>
      </w:r>
    </w:p>
    <w:p w:rsidR="00011D0D" w:rsidRPr="00011D0D" w:rsidRDefault="001C1BA0" w:rsidP="00011D0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565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="00011D0D" w:rsidRPr="00011D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вторичную (потребительскую) упаковку лекарственных растительных </w:t>
      </w:r>
      <w:r w:rsidR="00011D0D" w:rsidRPr="001C1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препаратов должна наноситься надпись: "Продукция прошла радиационный контроль".</w:t>
      </w:r>
    </w:p>
    <w:p w:rsidR="001C1BA0" w:rsidRPr="001C1BA0" w:rsidRDefault="001C1BA0" w:rsidP="00011D0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500"/>
      <w:bookmarkEnd w:id="2"/>
    </w:p>
    <w:p w:rsidR="00011D0D" w:rsidRPr="00011D0D" w:rsidRDefault="001C1BA0" w:rsidP="00011D0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011D0D" w:rsidRPr="001C1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первичную упаковку (если для этого существует техническая возможность) и вторичную (потребительскую) упаковку лекарственных препаратов, предназначенных для клинических исследований, должна наноситься надпись: "Для клинических исследований".</w:t>
      </w:r>
    </w:p>
    <w:p w:rsidR="00011D0D" w:rsidRPr="001C1BA0" w:rsidRDefault="00011D0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1D0D" w:rsidRPr="001C1BA0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</w:t>
      </w:r>
      <w:r w:rsidR="00011D0D"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Упаковка лекарственных средств, предназначенных исключительно для экспорта, маркируется в соответствии с требованиями страны-импортера.</w:t>
      </w:r>
    </w:p>
    <w:p w:rsidR="001C1BA0" w:rsidRPr="001C1BA0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</w:t>
      </w:r>
      <w:proofErr w:type="gramEnd"/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 условиях его хранения и перевозки, необходимые предупредительные надписи и манипуляторные знаки.</w:t>
      </w:r>
    </w:p>
    <w:p w:rsidR="001C1BA0" w:rsidRPr="001C1BA0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</w:t>
      </w:r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первичную упаковку и вторичную (потребительскую) упаковку лекарственных сре</w:t>
      </w:r>
      <w:proofErr w:type="gramStart"/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дл</w:t>
      </w:r>
      <w:proofErr w:type="gramEnd"/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ветеринарного применения должна наноситься надпись: "Для ветеринарного применения".</w:t>
      </w:r>
    </w:p>
    <w:p w:rsidR="001C1BA0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</w:t>
      </w:r>
      <w:r w:rsidRPr="001C1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вторичную (потребительскую) упаковку лекарственного препарата наносится штриховой код.</w:t>
      </w:r>
    </w:p>
    <w:p w:rsidR="001C1BA0" w:rsidRDefault="001C1BA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BA0" w:rsidRDefault="001C1BA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C1B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3.Хранение ЛС в соотв</w:t>
      </w:r>
      <w:r w:rsidR="00230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етствии нормативной документации</w:t>
      </w:r>
      <w:r w:rsidRPr="001C1B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230B86" w:rsidRDefault="00230B8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30B86">
        <w:rPr>
          <w:rFonts w:ascii="Times New Roman" w:hAnsi="Times New Roman"/>
          <w:sz w:val="28"/>
          <w:szCs w:val="28"/>
        </w:rPr>
        <w:t>Хранения лекарственных средств в аптеке осуществляется в соответствии с требованиями</w:t>
      </w:r>
      <w:r w:rsidRPr="00230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30B86" w:rsidRPr="00230B86" w:rsidRDefault="00230B86" w:rsidP="00230B86">
      <w:pPr>
        <w:pStyle w:val="ConsPlusNormal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230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30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31.08.2016</w:t>
      </w:r>
      <w:r w:rsidRPr="00230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646н «Об утверждении правил надлежащей практики хранения и перевозки ЛП для медицинского применения»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30B86">
        <w:rPr>
          <w:rFonts w:ascii="Times New Roman" w:hAnsi="Times New Roman" w:cs="Times New Roman"/>
          <w:i/>
          <w:sz w:val="28"/>
          <w:szCs w:val="28"/>
        </w:rPr>
        <w:t>IV. Помещения и оборудование для хранения</w:t>
      </w:r>
    </w:p>
    <w:p w:rsidR="00230B86" w:rsidRPr="00230B86" w:rsidRDefault="00230B86" w:rsidP="00230B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0B86">
        <w:rPr>
          <w:rFonts w:ascii="Times New Roman" w:hAnsi="Times New Roman" w:cs="Times New Roman"/>
          <w:i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B9C" w:rsidRDefault="0023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230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56D99">
        <w:rPr>
          <w:rFonts w:ascii="Times New Roman" w:hAnsi="Times New Roman"/>
          <w:sz w:val="28"/>
          <w:szCs w:val="28"/>
        </w:rPr>
        <w:t xml:space="preserve">риказа </w:t>
      </w:r>
      <w:proofErr w:type="spellStart"/>
      <w:r w:rsidRPr="00256D99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56D99">
        <w:rPr>
          <w:rFonts w:ascii="Times New Roman" w:hAnsi="Times New Roman"/>
          <w:sz w:val="28"/>
          <w:szCs w:val="28"/>
        </w:rPr>
        <w:t xml:space="preserve"> РФ от 23.08.2010 № 706</w:t>
      </w:r>
      <w:bookmarkStart w:id="3" w:name="_GoBack"/>
      <w:bookmarkEnd w:id="3"/>
      <w:r w:rsidRPr="00256D99">
        <w:rPr>
          <w:rFonts w:ascii="Times New Roman" w:hAnsi="Times New Roman"/>
          <w:sz w:val="28"/>
          <w:szCs w:val="28"/>
        </w:rPr>
        <w:t>(ред. от 28.12.2010). «</w:t>
      </w:r>
      <w:r w:rsidRPr="00D62B9C">
        <w:rPr>
          <w:rFonts w:ascii="Times New Roman" w:hAnsi="Times New Roman" w:cs="Times New Roman"/>
          <w:sz w:val="28"/>
          <w:szCs w:val="28"/>
        </w:rPr>
        <w:t>Об утверждении Правил хранения лекарственных средств»</w:t>
      </w:r>
    </w:p>
    <w:p w:rsidR="001C1BA0" w:rsidRDefault="00D62B9C">
      <w:pPr>
        <w:rPr>
          <w:rFonts w:ascii="Times New Roman" w:hAnsi="Times New Roman" w:cs="Times New Roman"/>
          <w:i/>
          <w:sz w:val="28"/>
          <w:szCs w:val="28"/>
        </w:rPr>
      </w:pPr>
      <w:r w:rsidRPr="00D62B9C">
        <w:rPr>
          <w:rFonts w:ascii="Times New Roman" w:hAnsi="Times New Roman" w:cs="Times New Roman"/>
          <w:i/>
          <w:sz w:val="28"/>
          <w:szCs w:val="28"/>
        </w:rPr>
        <w:lastRenderedPageBreak/>
        <w:t>II. Общие требования к устройству и эксплуатации помещений хранения лекарственных средств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 w:rsidRPr="00D62B9C">
        <w:rPr>
          <w:rFonts w:ascii="Times New Roman" w:hAnsi="Times New Roman" w:cs="Times New Roman"/>
          <w:i/>
          <w:sz w:val="28"/>
          <w:szCs w:val="28"/>
        </w:rPr>
        <w:t>III. Общие требования к помещениям для хранения лекарственных средств и организации их хранения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 w:rsidRPr="00D62B9C">
        <w:rPr>
          <w:rFonts w:ascii="Times New Roman" w:hAnsi="Times New Roman" w:cs="Times New Roman"/>
          <w:i/>
          <w:sz w:val="28"/>
          <w:szCs w:val="28"/>
        </w:rPr>
        <w:t xml:space="preserve">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 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D62B9C">
        <w:rPr>
          <w:rFonts w:ascii="Times New Roman" w:hAnsi="Times New Roman" w:cs="Times New Roman"/>
          <w:i/>
          <w:sz w:val="28"/>
          <w:szCs w:val="28"/>
        </w:rPr>
        <w:t xml:space="preserve">физико-химических свойств лекарственных средств; 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D62B9C">
        <w:rPr>
          <w:rFonts w:ascii="Times New Roman" w:hAnsi="Times New Roman" w:cs="Times New Roman"/>
          <w:i/>
          <w:sz w:val="28"/>
          <w:szCs w:val="28"/>
        </w:rPr>
        <w:t xml:space="preserve">фармакологических групп (для аптечных и медицинских организаций); 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D62B9C">
        <w:rPr>
          <w:rFonts w:ascii="Times New Roman" w:hAnsi="Times New Roman" w:cs="Times New Roman"/>
          <w:i/>
          <w:sz w:val="28"/>
          <w:szCs w:val="28"/>
        </w:rPr>
        <w:t xml:space="preserve">способа применения (внутреннее, наружное); 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D62B9C">
        <w:rPr>
          <w:rFonts w:ascii="Times New Roman" w:hAnsi="Times New Roman" w:cs="Times New Roman"/>
          <w:i/>
          <w:sz w:val="28"/>
          <w:szCs w:val="28"/>
        </w:rPr>
        <w:t>агрегатного состояния фармацевтических субстанций (жидкие, сыпучие, газообразные).</w:t>
      </w:r>
      <w:proofErr w:type="gramEnd"/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D62B9C">
        <w:rPr>
          <w:rFonts w:ascii="Times New Roman" w:hAnsi="Times New Roman" w:cs="Times New Roman"/>
          <w:i/>
          <w:sz w:val="28"/>
          <w:szCs w:val="28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D62B9C" w:rsidRDefault="00D62B9C">
      <w:pPr>
        <w:rPr>
          <w:rFonts w:ascii="Times New Roman" w:hAnsi="Times New Roman" w:cs="Times New Roman"/>
          <w:i/>
          <w:sz w:val="28"/>
          <w:szCs w:val="28"/>
        </w:rPr>
      </w:pPr>
      <w:r w:rsidRPr="00D62B9C">
        <w:rPr>
          <w:rFonts w:ascii="Times New Roman" w:hAnsi="Times New Roman" w:cs="Times New Roman"/>
          <w:i/>
          <w:sz w:val="28"/>
          <w:szCs w:val="28"/>
        </w:rPr>
        <w:t>Отдельно, в технически укрепленных помещениях, соответствующих требованиям Федерального закона от 8 января 1998 г. N 3-ФЗ "О наркотических средствах и психотропны</w:t>
      </w:r>
      <w:r>
        <w:rPr>
          <w:rFonts w:ascii="Times New Roman" w:hAnsi="Times New Roman" w:cs="Times New Roman"/>
          <w:i/>
          <w:sz w:val="28"/>
          <w:szCs w:val="28"/>
        </w:rPr>
        <w:t>х веществах"</w:t>
      </w:r>
      <w:r w:rsidRPr="00D62B9C">
        <w:rPr>
          <w:rFonts w:ascii="Times New Roman" w:hAnsi="Times New Roman" w:cs="Times New Roman"/>
          <w:i/>
          <w:sz w:val="28"/>
          <w:szCs w:val="28"/>
        </w:rPr>
        <w:t xml:space="preserve"> хранятся: наркотические и психотропные лекарственные средства; 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D62B9C" w:rsidRPr="001E3B83" w:rsidRDefault="00D62B9C" w:rsidP="00D62B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56D99">
        <w:rPr>
          <w:rFonts w:ascii="Times New Roman" w:hAnsi="Times New Roman"/>
          <w:sz w:val="28"/>
          <w:szCs w:val="28"/>
        </w:rPr>
        <w:t>Хранения лекарственных препаратов для медицинского применения осуществляется в соответствии с требованиями ГФ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IV</w:t>
      </w:r>
      <w:r w:rsidRPr="00256D99">
        <w:rPr>
          <w:rFonts w:ascii="Times New Roman" w:hAnsi="Times New Roman"/>
          <w:sz w:val="28"/>
          <w:szCs w:val="28"/>
        </w:rPr>
        <w:t xml:space="preserve"> и нормативной документации, а также с учетом физико-химических свойств веществ, входящих в состав лекарственного препарата. </w:t>
      </w:r>
    </w:p>
    <w:p w:rsidR="00D62B9C" w:rsidRPr="001E3B83" w:rsidRDefault="00D62B9C" w:rsidP="00D62B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B9C" w:rsidRDefault="00B40811" w:rsidP="00D62B9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08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.Правила реализации ЛС из аптеки:</w:t>
      </w:r>
    </w:p>
    <w:p w:rsidR="00B40811" w:rsidRDefault="00B40811" w:rsidP="00D62B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4A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В соответствии с п</w:t>
      </w:r>
      <w:r w:rsidR="00B40811" w:rsidRPr="008A6D4A">
        <w:rPr>
          <w:b w:val="0"/>
          <w:color w:val="000000" w:themeColor="text1"/>
          <w:sz w:val="28"/>
          <w:szCs w:val="28"/>
        </w:rPr>
        <w:t>риказ</w:t>
      </w:r>
      <w:r>
        <w:rPr>
          <w:b w:val="0"/>
          <w:color w:val="000000" w:themeColor="text1"/>
          <w:sz w:val="28"/>
          <w:szCs w:val="28"/>
        </w:rPr>
        <w:t>ом</w:t>
      </w:r>
      <w:r w:rsidR="00B40811" w:rsidRPr="008A6D4A">
        <w:rPr>
          <w:b w:val="0"/>
          <w:color w:val="000000" w:themeColor="text1"/>
          <w:sz w:val="28"/>
          <w:szCs w:val="28"/>
        </w:rPr>
        <w:t xml:space="preserve"> Минздрава РФ № 403н</w:t>
      </w:r>
      <w:r w:rsidRPr="008A6D4A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«</w:t>
      </w:r>
      <w:r w:rsidRPr="008A6D4A">
        <w:rPr>
          <w:b w:val="0"/>
          <w:color w:val="000000" w:themeColor="text1"/>
          <w:sz w:val="28"/>
          <w:szCs w:val="28"/>
        </w:rPr>
        <w:t>П</w:t>
      </w:r>
      <w:r>
        <w:rPr>
          <w:b w:val="0"/>
          <w:color w:val="000000" w:themeColor="text1"/>
          <w:sz w:val="28"/>
          <w:szCs w:val="28"/>
        </w:rPr>
        <w:t xml:space="preserve">равила </w:t>
      </w:r>
      <w:r w:rsidRPr="008A6D4A">
        <w:rPr>
          <w:b w:val="0"/>
          <w:color w:val="000000" w:themeColor="text1"/>
          <w:sz w:val="28"/>
          <w:szCs w:val="28"/>
        </w:rPr>
        <w:t xml:space="preserve">отпуска лекарственных препаратов для медицинского применения, </w:t>
      </w:r>
      <w:r>
        <w:rPr>
          <w:b w:val="0"/>
          <w:color w:val="000000" w:themeColor="text1"/>
          <w:sz w:val="28"/>
          <w:szCs w:val="28"/>
        </w:rPr>
        <w:t xml:space="preserve">в том числе иммунобиологических </w:t>
      </w:r>
      <w:r w:rsidRPr="008A6D4A">
        <w:rPr>
          <w:b w:val="0"/>
          <w:color w:val="000000" w:themeColor="text1"/>
          <w:sz w:val="28"/>
          <w:szCs w:val="28"/>
        </w:rPr>
        <w:t>лекарственных препаратов, аптечными организациями, индивидуальными предпринимателями, имеющи</w:t>
      </w:r>
      <w:r>
        <w:rPr>
          <w:b w:val="0"/>
          <w:color w:val="000000" w:themeColor="text1"/>
          <w:sz w:val="28"/>
          <w:szCs w:val="28"/>
        </w:rPr>
        <w:t xml:space="preserve">ми лицензию на фармацевтическую </w:t>
      </w:r>
      <w:r w:rsidRPr="008A6D4A">
        <w:rPr>
          <w:b w:val="0"/>
          <w:color w:val="000000" w:themeColor="text1"/>
          <w:sz w:val="28"/>
          <w:szCs w:val="28"/>
        </w:rPr>
        <w:t>деятельность</w:t>
      </w:r>
      <w:r>
        <w:rPr>
          <w:b w:val="0"/>
          <w:color w:val="000000" w:themeColor="text1"/>
          <w:sz w:val="28"/>
          <w:szCs w:val="28"/>
        </w:rPr>
        <w:t>»</w:t>
      </w:r>
    </w:p>
    <w:p w:rsidR="008A6D4A" w:rsidRPr="008A6D4A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i/>
          <w:color w:val="000000" w:themeColor="text1"/>
          <w:sz w:val="28"/>
          <w:szCs w:val="28"/>
        </w:rPr>
      </w:pPr>
      <w:r w:rsidRPr="008A6D4A">
        <w:rPr>
          <w:b w:val="0"/>
          <w:i/>
          <w:color w:val="000000" w:themeColor="text1"/>
          <w:sz w:val="28"/>
          <w:szCs w:val="28"/>
        </w:rPr>
        <w:t>I. Общие требования к отпуску лекарственных препаратов для медицинского применения</w:t>
      </w:r>
    </w:p>
    <w:p w:rsidR="008A6D4A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sz w:val="28"/>
          <w:szCs w:val="28"/>
        </w:rPr>
      </w:pPr>
      <w:r w:rsidRPr="008A6D4A">
        <w:rPr>
          <w:b w:val="0"/>
          <w:sz w:val="28"/>
          <w:szCs w:val="28"/>
        </w:rPr>
        <w:lastRenderedPageBreak/>
        <w:t>Отпуск лекарственных препаратов осуществляются по рецептам на ЛП и без рецепта.</w:t>
      </w:r>
    </w:p>
    <w:p w:rsidR="008A6D4A" w:rsidRPr="008A6D4A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Pr="008A6D4A">
        <w:rPr>
          <w:b w:val="0"/>
          <w:sz w:val="28"/>
          <w:szCs w:val="28"/>
        </w:rPr>
        <w:t xml:space="preserve">Безрецептурные препараты отпускаются по требованию покупателя. </w:t>
      </w:r>
      <w:r w:rsidRPr="008A6D4A">
        <w:rPr>
          <w:b w:val="0"/>
          <w:color w:val="000000" w:themeColor="text1"/>
          <w:sz w:val="28"/>
          <w:szCs w:val="28"/>
        </w:rPr>
        <w:t>Отпуск лекарственных препаратов без рецептов осуществляется: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аптеками;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аптечными пунктами;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аптечными киосками;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 xml:space="preserve">2)Отпуск </w:t>
      </w:r>
      <w:proofErr w:type="gramStart"/>
      <w:r w:rsidRPr="008A6D4A">
        <w:rPr>
          <w:color w:val="000000" w:themeColor="text1"/>
          <w:sz w:val="28"/>
          <w:szCs w:val="28"/>
        </w:rPr>
        <w:t>рецептурных</w:t>
      </w:r>
      <w:proofErr w:type="gramEnd"/>
      <w:r w:rsidRPr="008A6D4A">
        <w:rPr>
          <w:color w:val="000000" w:themeColor="text1"/>
          <w:sz w:val="28"/>
          <w:szCs w:val="28"/>
        </w:rPr>
        <w:t xml:space="preserve"> ведется строго по рецептурным бланкам. Отпуск лекарственных препаратов по рецептам осуществляется: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аптеками;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аптечными пунктами;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8A6D4A">
        <w:rPr>
          <w:color w:val="000000" w:themeColor="text1"/>
          <w:sz w:val="28"/>
          <w:szCs w:val="28"/>
        </w:rPr>
        <w:t xml:space="preserve">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8A6D4A">
        <w:rPr>
          <w:color w:val="000000" w:themeColor="text1"/>
          <w:sz w:val="28"/>
          <w:szCs w:val="28"/>
        </w:rPr>
        <w:t>прекурсоров</w:t>
      </w:r>
      <w:proofErr w:type="spellEnd"/>
      <w:r w:rsidRPr="008A6D4A">
        <w:rPr>
          <w:color w:val="000000" w:themeColor="text1"/>
          <w:sz w:val="28"/>
          <w:szCs w:val="28"/>
        </w:rPr>
        <w:t>, подлежащих контролю в Российской Федерации, утвержденный постановлением Правительства Российской Федерации от 30 июня 1998 г. № 681</w:t>
      </w:r>
      <w:hyperlink r:id="rId5" w:anchor="3333" w:history="1">
        <w:r w:rsidRPr="008A6D4A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*(3)</w:t>
        </w:r>
      </w:hyperlink>
      <w:r w:rsidRPr="008A6D4A">
        <w:rPr>
          <w:color w:val="000000" w:themeColor="text1"/>
          <w:sz w:val="28"/>
          <w:szCs w:val="28"/>
        </w:rPr>
        <w:t> (далее соответственно - Перечень, наркотические и психотропные лекарственные препараты).</w:t>
      </w:r>
      <w:proofErr w:type="gramEnd"/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</w:t>
      </w:r>
      <w:proofErr w:type="spellStart"/>
      <w:r w:rsidRPr="008A6D4A">
        <w:rPr>
          <w:color w:val="000000" w:themeColor="text1"/>
          <w:sz w:val="28"/>
          <w:szCs w:val="28"/>
        </w:rPr>
        <w:t>прекурсоров</w:t>
      </w:r>
      <w:proofErr w:type="spellEnd"/>
      <w:r w:rsidRPr="008A6D4A">
        <w:rPr>
          <w:color w:val="000000" w:themeColor="text1"/>
          <w:sz w:val="28"/>
          <w:szCs w:val="28"/>
        </w:rPr>
        <w:t xml:space="preserve">, культивированию </w:t>
      </w:r>
      <w:proofErr w:type="spellStart"/>
      <w:r w:rsidRPr="008A6D4A">
        <w:rPr>
          <w:color w:val="000000" w:themeColor="text1"/>
          <w:sz w:val="28"/>
          <w:szCs w:val="28"/>
        </w:rPr>
        <w:t>наркосодержащих</w:t>
      </w:r>
      <w:proofErr w:type="spellEnd"/>
      <w:r w:rsidRPr="008A6D4A">
        <w:rPr>
          <w:color w:val="000000" w:themeColor="text1"/>
          <w:sz w:val="28"/>
          <w:szCs w:val="28"/>
        </w:rPr>
        <w:t xml:space="preserve"> растений.</w:t>
      </w:r>
    </w:p>
    <w:p w:rsidR="008A6D4A" w:rsidRPr="008A6D4A" w:rsidRDefault="008A6D4A" w:rsidP="008A6D4A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8A6D4A">
        <w:rPr>
          <w:color w:val="000000" w:themeColor="text1"/>
          <w:sz w:val="28"/>
          <w:szCs w:val="28"/>
        </w:rPr>
        <w:t>Отпуск иммунобиологических лекарственных препаратов по рецептам осуществляется аптеками и аптечными пунктами.</w:t>
      </w:r>
    </w:p>
    <w:p w:rsidR="008A6D4A" w:rsidRPr="008A6D4A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i/>
          <w:color w:val="000000" w:themeColor="text1"/>
          <w:sz w:val="28"/>
          <w:szCs w:val="28"/>
        </w:rPr>
      </w:pPr>
      <w:r w:rsidRPr="008A6D4A">
        <w:rPr>
          <w:b w:val="0"/>
          <w:i/>
          <w:color w:val="000000" w:themeColor="text1"/>
          <w:sz w:val="28"/>
          <w:szCs w:val="28"/>
        </w:rPr>
        <w:t>II. 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</w:r>
    </w:p>
    <w:p w:rsidR="00925540" w:rsidRPr="00925540" w:rsidRDefault="00925540" w:rsidP="00925540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i/>
          <w:color w:val="333333"/>
          <w:sz w:val="28"/>
          <w:szCs w:val="28"/>
        </w:rPr>
      </w:pPr>
      <w:r w:rsidRPr="00925540">
        <w:rPr>
          <w:b w:val="0"/>
          <w:i/>
          <w:color w:val="333333"/>
          <w:sz w:val="28"/>
          <w:szCs w:val="28"/>
        </w:rPr>
        <w:t>III. 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</w:r>
    </w:p>
    <w:p w:rsidR="001E3B83" w:rsidRPr="00256D99" w:rsidRDefault="001E3B83" w:rsidP="001E3B8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6D99">
        <w:rPr>
          <w:rFonts w:ascii="Times New Roman" w:hAnsi="Times New Roman"/>
          <w:b/>
          <w:sz w:val="28"/>
          <w:szCs w:val="28"/>
        </w:rPr>
        <w:lastRenderedPageBreak/>
        <w:t>Тема № 3. (6 часов)</w:t>
      </w:r>
      <w:proofErr w:type="gramStart"/>
      <w:r w:rsidRPr="00256D99">
        <w:rPr>
          <w:rFonts w:ascii="Times New Roman" w:hAnsi="Times New Roman"/>
          <w:b/>
          <w:sz w:val="28"/>
          <w:szCs w:val="28"/>
        </w:rPr>
        <w:t>.</w:t>
      </w:r>
      <w:r w:rsidRPr="00256D99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256D99">
        <w:rPr>
          <w:rFonts w:ascii="Times New Roman" w:hAnsi="Times New Roman"/>
          <w:b/>
          <w:bCs/>
          <w:sz w:val="28"/>
          <w:szCs w:val="28"/>
        </w:rPr>
        <w:t>омеопатические лекарственные препараты. Анализ ассортимента. Хранение. Реализация.</w:t>
      </w:r>
    </w:p>
    <w:p w:rsidR="008A6D4A" w:rsidRPr="0089240C" w:rsidRDefault="008A6D4A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b w:val="0"/>
          <w:sz w:val="28"/>
          <w:szCs w:val="28"/>
        </w:rPr>
      </w:pPr>
    </w:p>
    <w:p w:rsidR="008A6D4A" w:rsidRPr="0089240C" w:rsidRDefault="0089240C" w:rsidP="008A6D4A">
      <w:pPr>
        <w:pStyle w:val="3"/>
        <w:shd w:val="clear" w:color="auto" w:fill="FFFFFF"/>
        <w:spacing w:before="0" w:beforeAutospacing="0" w:after="255" w:afterAutospacing="0" w:line="270" w:lineRule="atLeast"/>
        <w:rPr>
          <w:noProof/>
          <w:sz w:val="28"/>
          <w:szCs w:val="28"/>
        </w:rPr>
      </w:pPr>
      <w:r w:rsidRPr="0089240C">
        <w:rPr>
          <w:noProof/>
          <w:sz w:val="28"/>
          <w:szCs w:val="28"/>
        </w:rPr>
        <w:t>Описание гомеопатических лекарственных препаратов:</w:t>
      </w:r>
    </w:p>
    <w:p w:rsidR="0089240C" w:rsidRDefault="0089240C" w:rsidP="0089240C">
      <w:pPr>
        <w:pStyle w:val="a3"/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9240C">
        <w:rPr>
          <w:rFonts w:ascii="Times New Roman" w:hAnsi="Times New Roman"/>
          <w:b/>
          <w:sz w:val="28"/>
          <w:szCs w:val="28"/>
        </w:rPr>
        <w:t>Стодаль</w:t>
      </w:r>
      <w:r w:rsidRPr="0089240C">
        <w:rPr>
          <w:rFonts w:ascii="Times New Roman" w:hAnsi="Times New Roman"/>
          <w:b/>
          <w:sz w:val="28"/>
          <w:szCs w:val="28"/>
          <w:bdr w:val="none" w:sz="0" w:space="0" w:color="auto" w:frame="1"/>
          <w:vertAlign w:val="superscript"/>
        </w:rPr>
        <w:t xml:space="preserve">® </w:t>
      </w:r>
      <w:r w:rsidRPr="0089240C">
        <w:rPr>
          <w:rFonts w:ascii="Times New Roman" w:hAnsi="Times New Roman"/>
          <w:b/>
          <w:sz w:val="28"/>
          <w:szCs w:val="28"/>
          <w:bdr w:val="none" w:sz="0" w:space="0" w:color="auto" w:frame="1"/>
          <w:vertAlign w:val="superscript"/>
        </w:rPr>
        <w:softHyphen/>
        <w:t xml:space="preserve">_ </w:t>
      </w: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сироп гомеопатический; флакон темного стекла 200 мл с мерным колпачком, пачка картонная 1; № </w:t>
      </w:r>
      <w:proofErr w:type="gramStart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</w:t>
      </w:r>
      <w:proofErr w:type="gramEnd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N015706/01, 2009-06-05 от БУАРОН (Франция)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2667000"/>
            <wp:effectExtent l="19050" t="0" r="0" b="0"/>
            <wp:wrapSquare wrapText="bothSides"/>
            <wp:docPr id="10" name="Рисунок 10" descr="Стодаль&lt;sup&gt;®&lt;/sup&gt; сироп гомеопатический; флакон темного стекла 200 мл с мерным колпачком, пачка картонная 1; №&amp;nbsp;П N015706/01, 2009-06-05 от БУАРОН (Фран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одаль&lt;sup&gt;®&lt;/sup&gt; сироп гомеопатический; флакон темного стекла 200 мл с мерным колпачком, пачка картонная 1; №&amp;nbsp;П N015706/01, 2009-06-05 от БУАРОН (Франция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</w:t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</w:p>
    <w:p w:rsidR="0089240C" w:rsidRDefault="0089240C" w:rsidP="0089240C">
      <w:pPr>
        <w:pStyle w:val="a3"/>
      </w:pPr>
      <w:r w:rsidRPr="0089240C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Фармакологическая группа: </w:t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гомеопатическое средство.</w:t>
      </w:r>
      <w:r w:rsidRPr="0089240C">
        <w:t xml:space="preserve"> </w:t>
      </w:r>
    </w:p>
    <w:p w:rsidR="0089240C" w:rsidRPr="0089240C" w:rsidRDefault="0089240C" w:rsidP="0089240C">
      <w:pPr>
        <w:pStyle w:val="a3"/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9240C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Описание лекарственной формы:</w:t>
      </w:r>
    </w:p>
    <w:p w:rsidR="0089240C" w:rsidRPr="0089240C" w:rsidRDefault="0089240C" w:rsidP="0089240C">
      <w:pPr>
        <w:pStyle w:val="a3"/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Прозрачный сироп светло-желтого с коричневатым оттенком цвета, с ароматным запахом.</w:t>
      </w:r>
    </w:p>
    <w:p w:rsidR="0089240C" w:rsidRPr="0089240C" w:rsidRDefault="0089240C" w:rsidP="0089240C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9240C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Фармакологическое действие</w:t>
      </w: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— гомеопатическое.</w:t>
      </w:r>
    </w:p>
    <w:p w:rsidR="0089240C" w:rsidRDefault="0089240C" w:rsidP="0089240C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proofErr w:type="spellStart"/>
      <w:r w:rsidRPr="0089240C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Фармакодинамика</w:t>
      </w:r>
      <w:proofErr w:type="spellEnd"/>
      <w:r w:rsid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</w:p>
    <w:p w:rsidR="0089240C" w:rsidRPr="0089240C" w:rsidRDefault="0089240C" w:rsidP="0089240C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Многокомпонентное гомеопатическое средство, действие которого обусловлено компонентами, входящими в его состав.</w:t>
      </w:r>
    </w:p>
    <w:p w:rsidR="0089240C" w:rsidRPr="003656C4" w:rsidRDefault="0089240C" w:rsidP="0089240C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proofErr w:type="spellStart"/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Показания</w:t>
      </w:r>
      <w:proofErr w:type="gramStart"/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С</w:t>
      </w:r>
      <w:proofErr w:type="gramEnd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имптоматическое</w:t>
      </w:r>
      <w:proofErr w:type="spellEnd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лечение кашля различной этиологии.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Противопоказания:</w:t>
      </w:r>
      <w:r w:rsid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Повышенная индивидуальная чувствительность к отдельным компонентам </w:t>
      </w:r>
      <w:proofErr w:type="spellStart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препарата</w:t>
      </w:r>
      <w:proofErr w:type="gramStart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.П</w:t>
      </w:r>
      <w:proofErr w:type="gramEnd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рименение</w:t>
      </w:r>
      <w:proofErr w:type="spellEnd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при беременности и кормлении </w:t>
      </w:r>
      <w:proofErr w:type="spellStart"/>
      <w:r w:rsidRPr="0089240C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грудью</w:t>
      </w:r>
      <w:r w:rsid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Необходима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консультация врача. При применении следует учитывать, что каждые 15 мл сиропа содержат 0,206 г этанола, каждые 5 мл — 0,069 г этанола.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Побочные действия</w:t>
      </w:r>
      <w:r w:rsidR="003656C4"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На настоящий момент информация о побочных действиях препарата отсутствует. При возникновении побочных эффектов следует обратиться к врачу.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Способ применения и дозы</w:t>
      </w:r>
      <w:r w:rsid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: 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Внутрь. Взрослым: по 15 мл с помощью мерного колпачка 3–5 раз в день. Детям: по 5 мл с помощью мерного колпачка 3–5 раз в день. Длительность применения следует согласовать с врачом.</w:t>
      </w:r>
    </w:p>
    <w:p w:rsidR="003656C4" w:rsidRDefault="003656C4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</w:p>
    <w:p w:rsidR="003656C4" w:rsidRDefault="003656C4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</w:p>
    <w:p w:rsidR="0089240C" w:rsidRPr="003656C4" w:rsidRDefault="0089240C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lastRenderedPageBreak/>
        <w:t>Особые указания</w:t>
      </w:r>
      <w:r w:rsidR="003656C4"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Если после нескольких дней лечения не отмечено никаких улучшений, необходимо проконсультироваться с врачом.</w:t>
      </w:r>
      <w:r w:rsid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Пациентам, страдающим сахарным диабетом, следует учитывать, что каждые 15 мл сиропа содержат 0,94 ХЕ, каждые 5 мл — 0,31 </w:t>
      </w:r>
      <w:proofErr w:type="spell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ХЕ</w:t>
      </w:r>
      <w:proofErr w:type="gram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.В</w:t>
      </w:r>
      <w:proofErr w:type="gram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лияние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на способность управлять автомобилем или выполнять работы, требующие повышенной скорости физических и психических реакций. Не влияет.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proofErr w:type="spellStart"/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Производитель</w:t>
      </w:r>
      <w:proofErr w:type="gramStart"/>
      <w:r w:rsidR="003656C4"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Б</w:t>
      </w:r>
      <w:proofErr w:type="gram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УАРОН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, Франция. 2, авеню де </w:t>
      </w:r>
      <w:proofErr w:type="spell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л`Уэст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Лионнэ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, 69510, </w:t>
      </w:r>
      <w:proofErr w:type="spell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Мессими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, Франция.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Условия отпуска из аптек</w:t>
      </w:r>
      <w:r w:rsidR="003656C4"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: 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Без рецепта.</w:t>
      </w:r>
    </w:p>
    <w:p w:rsidR="0089240C" w:rsidRPr="003656C4" w:rsidRDefault="0089240C" w:rsidP="003656C4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Усл</w:t>
      </w:r>
      <w:r w:rsidR="003656C4"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овия хранения:</w:t>
      </w:r>
      <w:r w:rsid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При температуре не выше 25 </w:t>
      </w:r>
      <w:proofErr w:type="spellStart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°C.Хранить</w:t>
      </w:r>
      <w:proofErr w:type="spellEnd"/>
      <w:r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в недоступном для детей месте.</w:t>
      </w:r>
    </w:p>
    <w:p w:rsidR="0089240C" w:rsidRDefault="003656C4" w:rsidP="003656C4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3656C4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Срок годности:</w:t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="0089240C"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5 лет.</w:t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="0089240C" w:rsidRPr="003656C4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Не применять по истечении срока годности, указанного на упаковке.</w:t>
      </w:r>
    </w:p>
    <w:p w:rsidR="0089240C" w:rsidRPr="00C607CB" w:rsidRDefault="003656C4" w:rsidP="00C607CB">
      <w:pPr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</w:pPr>
      <w:r w:rsidRPr="00C607CB"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2.</w:t>
      </w:r>
      <w:r w:rsidR="00C607CB" w:rsidRPr="00C607CB">
        <w:rPr>
          <w:rFonts w:ascii="Times New Roman" w:hAnsi="Times New Roman" w:cs="Times New Roman"/>
        </w:rPr>
        <w:t xml:space="preserve"> </w:t>
      </w:r>
      <w:proofErr w:type="spellStart"/>
      <w:r w:rsidR="00C607CB" w:rsidRPr="00C607CB">
        <w:rPr>
          <w:rStyle w:val="drugspecification"/>
          <w:rFonts w:ascii="Times New Roman" w:hAnsi="Times New Roman" w:cs="Times New Roman"/>
          <w:b/>
          <w:color w:val="010101"/>
          <w:sz w:val="28"/>
          <w:szCs w:val="28"/>
          <w:bdr w:val="none" w:sz="0" w:space="0" w:color="auto" w:frame="1"/>
        </w:rPr>
        <w:t>Оциллококцину</w:t>
      </w:r>
      <w:proofErr w:type="gramStart"/>
      <w:r w:rsidR="00C607CB" w:rsidRPr="00C607CB">
        <w:rPr>
          <w:rStyle w:val="drugspecification"/>
          <w:rFonts w:ascii="Times New Roman" w:hAnsi="Times New Roman" w:cs="Times New Roman"/>
          <w:b/>
          <w:color w:val="010101"/>
          <w:sz w:val="28"/>
          <w:szCs w:val="28"/>
          <w:bdr w:val="none" w:sz="0" w:space="0" w:color="auto" w:frame="1"/>
        </w:rPr>
        <w:t>м</w:t>
      </w:r>
      <w:proofErr w:type="spellEnd"/>
      <w:r w:rsidR="00C607CB"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-</w:t>
      </w:r>
      <w:proofErr w:type="gramEnd"/>
      <w:r w:rsidR="00C607CB"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="00C607CB" w:rsidRPr="00C607CB"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гранулы гомеопатические; туба полипропиленовая 1 г, блистер 3, пачка картонная 10; код EAN: 3352712007028; № П N014236/01, 2008-08-07 от БУАРОН (Франция)</w:t>
      </w:r>
      <w:r w:rsidR="00C607CB">
        <w:rPr>
          <w:rStyle w:val="drugspecification"/>
          <w:rFonts w:ascii="Times New Roman" w:hAnsi="Times New Roman" w:cs="Times New Roman"/>
          <w:color w:val="010101"/>
          <w:sz w:val="28"/>
          <w:szCs w:val="28"/>
          <w:bdr w:val="none" w:sz="0" w:space="0" w:color="auto" w:frame="1"/>
        </w:rPr>
        <w:t>.</w:t>
      </w:r>
    </w:p>
    <w:p w:rsidR="00C607CB" w:rsidRDefault="00C607CB" w:rsidP="00C607CB">
      <w:pPr>
        <w:pStyle w:val="a3"/>
      </w:pPr>
      <w:r w:rsidRPr="00C607CB">
        <w:rPr>
          <w:rStyle w:val="drugspecification"/>
          <w:rFonts w:ascii="Times New Roman" w:hAnsi="Times New Roman"/>
          <w:noProof/>
          <w:color w:val="01010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66900" cy="2559582"/>
            <wp:effectExtent l="19050" t="0" r="0" b="0"/>
            <wp:docPr id="5" name="Рисунок 19" descr="https://www.rlsnet.ru/images/prep/full/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lsnet.ru/images/prep/full/73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03" cy="25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C607CB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Фармакологическая группа</w:t>
      </w:r>
      <w: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: гомеопатическое средство.</w:t>
      </w:r>
      <w:r w:rsidRPr="00C607CB">
        <w:t xml:space="preserve"> 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Описание лекарственной </w:t>
      </w:r>
      <w:proofErr w:type="spellStart"/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формы</w:t>
      </w:r>
      <w:proofErr w:type="gramStart"/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Б</w:t>
      </w:r>
      <w:proofErr w:type="gram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елые</w:t>
      </w:r>
      <w:proofErr w:type="spell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гранулы почти сферической формы, без запаха, легко растворимые в воде.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Фармакологическое действие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— гомеопатическое.</w:t>
      </w:r>
    </w:p>
    <w:p w:rsidR="00C607CB" w:rsidRPr="008756BE" w:rsidRDefault="008756BE" w:rsidP="008756BE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lastRenderedPageBreak/>
        <w:t>Показания:</w:t>
      </w:r>
      <w: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грипп легкой и средней степени тяжести;</w:t>
      </w:r>
      <w: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о</w:t>
      </w:r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страя респираторная вирусная инфекция (ОРВИ)</w:t>
      </w:r>
      <w:proofErr w:type="gramStart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Противопоказания</w:t>
      </w:r>
      <w:r w:rsidR="008756BE"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повышенная индивидуальная чувствительность к отдельным компонентам препарата;</w:t>
      </w:r>
      <w:r w:rsid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непереносимость лактозы, дефицит </w:t>
      </w:r>
      <w:proofErr w:type="spellStart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лактазы</w:t>
      </w:r>
      <w:proofErr w:type="spell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глюкозо-галактозная</w:t>
      </w:r>
      <w:proofErr w:type="spell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мальабсорбция</w:t>
      </w:r>
      <w:proofErr w:type="spell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</w:t>
      </w:r>
      <w:r w:rsid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Применение при беременности и кормлении грудью</w:t>
      </w:r>
      <w:r w:rsid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Препарат применяется по назначению врача.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Побочные действия</w:t>
      </w:r>
      <w:r w:rsidR="008756BE"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На настоящий момент информация о побочных эффектах отсутствует. При возникновении побочных эффектов следует обратиться к врачу.</w:t>
      </w:r>
      <w:r w:rsid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 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Возможны аллергические реакции.</w:t>
      </w:r>
    </w:p>
    <w:p w:rsidR="00C607CB" w:rsidRPr="008756BE" w:rsidRDefault="008756BE" w:rsidP="008756BE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Способ применения и </w:t>
      </w:r>
      <w:proofErr w:type="spellStart"/>
      <w: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дозы</w:t>
      </w:r>
      <w:proofErr w:type="gramStart"/>
      <w: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В</w:t>
      </w:r>
      <w:proofErr w:type="gramEnd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нутрь</w:t>
      </w:r>
      <w:proofErr w:type="spellEnd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. Положить под язык содержимое тубы и держать до полного </w:t>
      </w:r>
      <w:proofErr w:type="spellStart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растворения</w:t>
      </w:r>
      <w:proofErr w:type="gramStart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.Д</w:t>
      </w:r>
      <w:proofErr w:type="gramEnd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ля</w:t>
      </w:r>
      <w:proofErr w:type="spellEnd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детей: растворить содержимое дозы в небольшом количестве воды и давать с ложечки или с помощью бутылочки с </w:t>
      </w:r>
      <w:proofErr w:type="spellStart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соской.Принимать</w:t>
      </w:r>
      <w:proofErr w:type="spellEnd"/>
      <w:r w:rsidR="00C607CB"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препарат за 15 мин до приема пищи или час спустя.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Дозировка зависит от стадии заболевания и не зависит от возраста пациента.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Для профилактики: принимать по 1 дозе 1 раз в неделю в период распространения ОРВИ.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Начальная стадия заболевания: как можно раньше принять 1 дозу, затем при необходимости повторить 2–3 раза с интервалом в 6 ч.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Выраженная стадия заболевания: принимать по 1 дозе утром и вечером в течение 1–3 дней.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Особые </w:t>
      </w:r>
      <w:proofErr w:type="spellStart"/>
      <w:r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указания</w:t>
      </w:r>
      <w:proofErr w:type="gramStart"/>
      <w:r w:rsidR="008756BE" w:rsidRPr="008756BE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Е</w:t>
      </w:r>
      <w:proofErr w:type="gram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сли</w:t>
      </w:r>
      <w:proofErr w:type="spellEnd"/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в течение 24 ч симптомы заболевания нарастают, следует обратиться к врачу.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Препарат действует тем быстрее и эффективнее, чем раньше начато лечение — с первых же симптомов заболевания.</w:t>
      </w:r>
    </w:p>
    <w:p w:rsidR="00C607CB" w:rsidRPr="008756BE" w:rsidRDefault="00C607CB" w:rsidP="008756BE">
      <w:pPr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</w:pPr>
      <w:r w:rsidRPr="008756BE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Влияние на способность управлять автомобилем или выполнять работы, требующие повышенной скорости физических и психических реакций. Не влияет.</w:t>
      </w:r>
    </w:p>
    <w:p w:rsidR="00C607CB" w:rsidRPr="00DB2A39" w:rsidRDefault="00C607CB" w:rsidP="00DB2A39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Форма </w:t>
      </w:r>
      <w:proofErr w:type="spellStart"/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выпуска</w:t>
      </w:r>
      <w:proofErr w:type="gramStart"/>
      <w:r w:rsidR="008756BE"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Г</w:t>
      </w:r>
      <w:proofErr w:type="gram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ранулы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гомеопатические. По 1 дозе (1 г) гранул в тубе из белого полипропилена с пробкой из ПЭ. По 3 тубы в блистере из прозрачной ПВХ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термоклейкой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пленки, запечатанной бумажной лентой. По 2, 4 или 10 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lastRenderedPageBreak/>
        <w:t>блистеров помещают в картонную пачку с заклеивающимся по бокам «язычком».</w:t>
      </w:r>
    </w:p>
    <w:p w:rsidR="00DB2A39" w:rsidRDefault="00C607CB" w:rsidP="00DB2A39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Производитель</w:t>
      </w:r>
      <w:r w:rsid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: 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БУАРОН, Франция. 2, авеню де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</w:t>
      </w:r>
      <w:proofErr w:type="gram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`У</w:t>
      </w:r>
      <w:proofErr w:type="gram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эст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Лионнэ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, 69510,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Мессими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, Франция.</w:t>
      </w:r>
    </w:p>
    <w:p w:rsidR="00C607CB" w:rsidRPr="00DB2A39" w:rsidRDefault="00C607CB" w:rsidP="00DB2A39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Условия отпуска из </w:t>
      </w:r>
      <w:proofErr w:type="spellStart"/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аптек</w:t>
      </w:r>
      <w:proofErr w:type="gramStart"/>
      <w:r w:rsid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Б</w:t>
      </w:r>
      <w:proofErr w:type="gram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ез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рецепта.</w:t>
      </w:r>
    </w:p>
    <w:p w:rsidR="00C607CB" w:rsidRPr="00DB2A39" w:rsidRDefault="00C607CB" w:rsidP="00DB2A39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Условия хр</w:t>
      </w:r>
      <w:r w:rsidR="00DB2A39"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 xml:space="preserve">анения </w:t>
      </w:r>
      <w:proofErr w:type="spellStart"/>
      <w:r w:rsidR="00DB2A39"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препарата</w:t>
      </w:r>
      <w:proofErr w:type="gramStart"/>
      <w:r w:rsidR="00DB2A39"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: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П</w:t>
      </w:r>
      <w:proofErr w:type="gram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ри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температуре не выше 25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°C.Хранить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в недоступном для детей месте.</w:t>
      </w:r>
    </w:p>
    <w:p w:rsidR="0089240C" w:rsidRPr="00DB2A39" w:rsidRDefault="00C607CB" w:rsidP="00DB2A39">
      <w:pPr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</w:pPr>
      <w:r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Срок го</w:t>
      </w:r>
      <w:r w:rsidR="00DB2A39" w:rsidRPr="00DB2A39">
        <w:rPr>
          <w:rStyle w:val="drugspecification"/>
          <w:rFonts w:ascii="Times New Roman" w:hAnsi="Times New Roman"/>
          <w:i/>
          <w:color w:val="010101"/>
          <w:sz w:val="28"/>
          <w:szCs w:val="28"/>
          <w:bdr w:val="none" w:sz="0" w:space="0" w:color="auto" w:frame="1"/>
        </w:rPr>
        <w:t>дности:</w:t>
      </w:r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лет</w:t>
      </w:r>
      <w:proofErr w:type="gramStart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.Н</w:t>
      </w:r>
      <w:proofErr w:type="gram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>е</w:t>
      </w:r>
      <w:proofErr w:type="spellEnd"/>
      <w:r w:rsidRPr="00DB2A39">
        <w:rPr>
          <w:rStyle w:val="drugspecification"/>
          <w:rFonts w:ascii="Times New Roman" w:hAnsi="Times New Roman"/>
          <w:color w:val="010101"/>
          <w:sz w:val="28"/>
          <w:szCs w:val="28"/>
          <w:bdr w:val="none" w:sz="0" w:space="0" w:color="auto" w:frame="1"/>
        </w:rPr>
        <w:t xml:space="preserve"> применять по истечении срока годности, указанного на упаковке.</w:t>
      </w:r>
    </w:p>
    <w:p w:rsidR="0089240C" w:rsidRPr="0089240C" w:rsidRDefault="0089240C" w:rsidP="0089240C">
      <w:pPr>
        <w:pStyle w:val="a3"/>
        <w:rPr>
          <w:rFonts w:ascii="Times New Roman" w:hAnsi="Times New Roman"/>
          <w:sz w:val="28"/>
          <w:szCs w:val="28"/>
        </w:rPr>
      </w:pPr>
      <w:r w:rsidRPr="0089240C">
        <w:rPr>
          <w:b/>
          <w:color w:val="000000" w:themeColor="text1"/>
          <w:sz w:val="28"/>
          <w:szCs w:val="28"/>
        </w:rPr>
        <w:br w:type="textWrapping" w:clear="all"/>
      </w:r>
    </w:p>
    <w:p w:rsidR="00B40811" w:rsidRPr="00B40811" w:rsidRDefault="00B40811" w:rsidP="00D62B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B9C" w:rsidRPr="00D62B9C" w:rsidRDefault="00B40811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D62B9C" w:rsidRPr="00D62B9C" w:rsidSect="008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A0"/>
    <w:multiLevelType w:val="hybridMultilevel"/>
    <w:tmpl w:val="BDB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6F"/>
    <w:rsid w:val="00011D0D"/>
    <w:rsid w:val="001C1BA0"/>
    <w:rsid w:val="001E3B83"/>
    <w:rsid w:val="001F3FC0"/>
    <w:rsid w:val="00230B86"/>
    <w:rsid w:val="003467B8"/>
    <w:rsid w:val="003656C4"/>
    <w:rsid w:val="006751EC"/>
    <w:rsid w:val="008747FD"/>
    <w:rsid w:val="008756BE"/>
    <w:rsid w:val="0089240C"/>
    <w:rsid w:val="008A6D4A"/>
    <w:rsid w:val="00925540"/>
    <w:rsid w:val="0097376F"/>
    <w:rsid w:val="009D4CA5"/>
    <w:rsid w:val="00AE74F2"/>
    <w:rsid w:val="00B40811"/>
    <w:rsid w:val="00B60536"/>
    <w:rsid w:val="00C607CB"/>
    <w:rsid w:val="00D62B9C"/>
    <w:rsid w:val="00DB2A39"/>
    <w:rsid w:val="00F4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FD"/>
  </w:style>
  <w:style w:type="paragraph" w:styleId="1">
    <w:name w:val="heading 1"/>
    <w:basedOn w:val="a"/>
    <w:next w:val="a"/>
    <w:link w:val="10"/>
    <w:uiPriority w:val="9"/>
    <w:qFormat/>
    <w:rsid w:val="0089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7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ock-content">
    <w:name w:val="block-content"/>
    <w:basedOn w:val="a0"/>
    <w:rsid w:val="0097376F"/>
  </w:style>
  <w:style w:type="character" w:customStyle="1" w:styleId="blk">
    <w:name w:val="blk"/>
    <w:basedOn w:val="a0"/>
    <w:rsid w:val="00011D0D"/>
  </w:style>
  <w:style w:type="paragraph" w:customStyle="1" w:styleId="ConsPlusNormal">
    <w:name w:val="ConsPlusNormal"/>
    <w:rsid w:val="00230B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A6D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D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rugspecification">
    <w:name w:val="drug__specification"/>
    <w:basedOn w:val="a0"/>
    <w:rsid w:val="0089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arant.ru/products/ipo/prime/doc/716596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2020-05-18T14:50:00Z</dcterms:created>
  <dcterms:modified xsi:type="dcterms:W3CDTF">2020-05-20T07:28:00Z</dcterms:modified>
</cp:coreProperties>
</file>