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5B6A4E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0"/>
        <w:spacing w:before="74" w:after="0"/>
        <w:ind w:left="0" w:right="60"/>
        <w:rPr>
          <w:rFonts w:ascii="Times New Roman" w:hAnsi="Times New Roman"/>
          <w:color w:val="000000"/>
        </w:rPr>
      </w:pPr>
      <w:bookmarkStart w:id="0" w:name="_Toc405934422"/>
      <w:r>
        <w:rPr>
          <w:rFonts w:ascii="Times New Roman" w:hAnsi="Times New Roman"/>
          <w:color w:val="000000"/>
          <w:shd w:val="clear" w:fill="FFFFFF"/>
        </w:rPr>
        <w:t>Федеральное государственное бюджетное образовательное учреждение высшего образования</w:t>
      </w:r>
      <w:bookmarkEnd w:id="0"/>
    </w:p>
    <w:p>
      <w:pPr>
        <w:widowControl w:val="0"/>
        <w:spacing w:before="1" w:after="0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«Красноярский государственный медицинский университет имени профессора В.Ф. Войно-Ясенецкого»</w:t>
      </w:r>
    </w:p>
    <w:p>
      <w:pPr>
        <w:widowControl w:val="0"/>
        <w:spacing w:lineRule="exact" w:line="318" w:after="0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Министерства здравоохранения Российской Федерации</w:t>
      </w:r>
    </w:p>
    <w:p>
      <w:pPr>
        <w:widowControl w:val="0"/>
        <w:spacing w:before="3" w:after="0"/>
        <w:ind w:right="6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(ФГБОУ ВО КрасГМУ им. проф. В.Ф. Войно-Ясенецкого Минздрава России)</w:t>
      </w:r>
    </w:p>
    <w:p>
      <w:pPr>
        <w:pStyle w:val="P2"/>
        <w:widowControl w:val="0"/>
        <w:spacing w:before="8" w:after="0"/>
        <w:ind w:left="-570"/>
        <w:rPr>
          <w:rFonts w:ascii="Times New Roman" w:hAnsi="Times New Roman"/>
          <w:color w:val="000000"/>
          <w:sz w:val="38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       </w:t>
      </w: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before="1" w:after="0"/>
        <w:ind w:left="-570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before="7" w:after="0"/>
        <w:ind w:left="-570"/>
        <w:rPr>
          <w:rFonts w:ascii="Times New Roman" w:hAnsi="Times New Roman"/>
          <w:color w:val="000000"/>
          <w:sz w:val="28"/>
        </w:rPr>
      </w:pPr>
    </w:p>
    <w:p>
      <w:pPr>
        <w:pStyle w:val="P3"/>
        <w:widowControl w:val="0"/>
        <w:spacing w:lineRule="auto" w:line="343" w:after="0"/>
        <w:ind w:left="0" w:right="60"/>
        <w:jc w:val="center"/>
        <w:rPr>
          <w:rFonts w:ascii="Times New Roman" w:hAnsi="Times New Roman"/>
          <w:b w:val="0"/>
          <w:color w:val="000000"/>
          <w:sz w:val="28"/>
        </w:rPr>
      </w:pPr>
      <w:bookmarkStart w:id="1" w:name="_Toc403352934"/>
      <w:r>
        <w:rPr>
          <w:rFonts w:ascii="Times New Roman" w:hAnsi="Times New Roman"/>
          <w:b w:val="0"/>
          <w:color w:val="000000"/>
          <w:sz w:val="28"/>
          <w:shd w:val="clear" w:fill="FFFFFF"/>
        </w:rPr>
        <w:t>РЕФЕРАТ</w:t>
      </w:r>
      <w:bookmarkEnd w:id="1"/>
    </w:p>
    <w:p>
      <w:pPr>
        <w:pStyle w:val="P3"/>
        <w:widowControl w:val="0"/>
        <w:spacing w:lineRule="auto" w:line="343" w:after="0"/>
        <w:ind w:left="0" w:right="60"/>
        <w:jc w:val="center"/>
        <w:rPr>
          <w:rFonts w:ascii="Times New Roman" w:hAnsi="Times New Roman"/>
          <w:b w:val="0"/>
          <w:color w:val="000000"/>
          <w:sz w:val="28"/>
        </w:rPr>
      </w:pPr>
      <w:bookmarkStart w:id="2" w:name="_Toc395620402"/>
      <w:r>
        <w:rPr>
          <w:rFonts w:ascii="Times New Roman" w:hAnsi="Times New Roman"/>
          <w:b w:val="0"/>
          <w:color w:val="000000"/>
          <w:sz w:val="28"/>
          <w:shd w:val="clear" w:fill="FFFFFF"/>
        </w:rPr>
        <w:t>"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Я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ЗВЕННЫЙ КОЛИТ</w:t>
      </w:r>
      <w:r>
        <w:rPr>
          <w:rFonts w:ascii="Times New Roman" w:hAnsi="Times New Roman"/>
          <w:b w:val="0"/>
          <w:color w:val="000000"/>
          <w:sz w:val="28"/>
          <w:shd w:val="clear" w:fill="FFFFFF"/>
        </w:rPr>
        <w:t>"</w:t>
      </w:r>
      <w:bookmarkEnd w:id="2"/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Выполнил ординатор</w:t>
      </w: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кафедры госпитальной хирургии имени профессора А.М.Дыхно с курсом ПО</w:t>
      </w: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специальности "Колопроктология"</w:t>
      </w: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Юзефович Николай Александрович</w:t>
      </w: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8"/>
        </w:rPr>
      </w:pPr>
    </w:p>
    <w:p>
      <w:pPr>
        <w:pStyle w:val="P2"/>
        <w:widowControl w:val="0"/>
        <w:spacing w:before="9" w:after="0"/>
        <w:ind w:left="-57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 xml:space="preserve">Проверила: ДМН, профессор </w:t>
        <w:br w:type="textWrapping"/>
        <w:t>Первова Ольга Владимировна</w:t>
      </w: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after="0"/>
        <w:ind w:left="-570"/>
        <w:rPr>
          <w:rFonts w:ascii="Times New Roman" w:hAnsi="Times New Roman"/>
          <w:color w:val="000000"/>
          <w:sz w:val="26"/>
        </w:rPr>
      </w:pPr>
    </w:p>
    <w:p>
      <w:pPr>
        <w:pStyle w:val="P2"/>
        <w:widowControl w:val="0"/>
        <w:spacing w:before="159" w:after="0"/>
        <w:ind w:left="-570" w:right="856"/>
        <w:jc w:val="center"/>
        <w:rPr>
          <w:rFonts w:ascii="Times New Roman" w:hAnsi="Times New Roman"/>
          <w:color w:val="000000"/>
          <w:sz w:val="28"/>
        </w:rPr>
      </w:pPr>
    </w:p>
    <w:p>
      <w:pPr>
        <w:pStyle w:val="P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fill="FFFFFF"/>
        </w:rPr>
        <w:t>2023 год</w:t>
      </w:r>
    </w:p>
    <w:p>
      <w:pPr>
        <w:jc w:val="center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bookmarkStart w:id="3" w:name="Содержан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Содержание</w:t>
      </w:r>
      <w:bookmarkEnd w:id="3"/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"Содержание"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Содержание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2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"Актуальность"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Актуальность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3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"Эпидемиология"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Эпидемиология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3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"Определение"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Определение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4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"Исторические"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Исторические данные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4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bookmarkStart w:id="4" w:name="_dx_frag_StartFragment"/>
      <w:bookmarkEnd w:id="4"/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"Первые"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Первые сообщения о случаях ЯК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5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"Этиология"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Этиология и патогенез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7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"Клиническая"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Клиническая картина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8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"Диагностика"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Диагностика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10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"Дифференциальная"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Дифференциальная диагностика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11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"Осложнения"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Осложнения язвенного колита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11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"Лечение"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Лечение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12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"Медикаментозная"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Медикаментозная терапия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13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"Оперативное"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Оперативное лечение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14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"Прогноз"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Прогноз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14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bookmarkStart w:id="5" w:name="_dx_frag_StartFragment"/>
      <w:bookmarkEnd w:id="5"/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"Фармакоэкономические"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Фармакоэкономические аспекты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14</w:t>
      </w:r>
    </w:p>
    <w:p>
      <w:pPr>
        <w:jc w:val="left"/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"Заключение"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Заключение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15</w:t>
      </w:r>
    </w:p>
    <w:p>
      <w:pPr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begin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instrText>HYPERLINK \l "Список" \t "_top"</w:instrTex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separate"/>
      </w:r>
      <w:r>
        <w:rPr>
          <w:rStyle w:val="C2"/>
          <w:rFonts w:ascii="Times New Roman" w:hAnsi="Times New Roman"/>
          <w:b w:val="0"/>
          <w:i w:val="1"/>
          <w:sz w:val="28"/>
          <w:shd w:val="clear" w:fill="FFFFFF"/>
        </w:rPr>
        <w:t>Список литературы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fldChar w:fldCharType="end"/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---------------------------------------------------------------------------</w:t>
      </w:r>
      <w:r>
        <w:rPr>
          <w:rFonts w:ascii="Times New Roman" w:hAnsi="Times New Roman"/>
          <w:b w:val="0"/>
          <w:i w:val="1"/>
          <w:color w:val="000000"/>
          <w:sz w:val="28"/>
          <w:shd w:val="clear" w:fill="FFFFFF"/>
        </w:rPr>
        <w:t>16</w:t>
      </w:r>
    </w:p>
    <w:p>
      <w:pPr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</w:p>
    <w:p>
      <w:pPr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</w:p>
    <w:p>
      <w:pPr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</w:p>
    <w:p>
      <w:pPr>
        <w:jc w:val="left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" w:name="Актуальность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Актуальность</w:t>
      </w:r>
      <w:bookmarkEnd w:id="6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" w:name="_dx_frag_StartFragment"/>
      <w:bookmarkEnd w:id="7"/>
      <w:r>
        <w:rPr>
          <w:rFonts w:ascii="Times New Roman" w:hAnsi="Times New Roman"/>
          <w:i w:val="0"/>
          <w:color w:val="000000"/>
          <w:sz w:val="28"/>
          <w:shd w:val="clear" w:fill="FFFFFF"/>
        </w:rPr>
        <w:t>Несмотря на многочисленные исследования, проблема язвенного колита не теряет своей актуальности. Основной причиной этого является значительная распространенность заболевания по всему миру. Наиболее высокая заболеваемость язвенным колитом регистрируется в индустриально развитых странах Северной Америки и Северной Европы. Реже заболевание регистрируется в африканских и азиатских странах, но в последние годы отмечается рост новых случаев и в этих регионах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" w:name="_dx_frag_StartFragment"/>
      <w:bookmarkEnd w:id="8"/>
      <w:r>
        <w:rPr>
          <w:rFonts w:ascii="Times New Roman" w:hAnsi="Times New Roman"/>
          <w:i w:val="0"/>
          <w:color w:val="000000"/>
          <w:sz w:val="28"/>
          <w:shd w:val="clear" w:fill="FFFFFF"/>
        </w:rPr>
        <w:t>Согласно результатам эпидемиологических исследований, общее число больных язвенным колитом составляет от 25 до 240 человек на 100 тыс. населения. Ежегодно регистрируется от 5 до 30 новых случаев заболевания на каждые 100 тыс. населения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" w:name="_dx_frag_StartFragment"/>
      <w:bookmarkEnd w:id="9"/>
      <w:r>
        <w:rPr>
          <w:rFonts w:ascii="Times New Roman" w:hAnsi="Times New Roman"/>
          <w:i w:val="0"/>
          <w:color w:val="000000"/>
          <w:sz w:val="28"/>
          <w:shd w:val="clear" w:fill="FFFFFF"/>
        </w:rPr>
        <w:t>Важно отметить, что пик заболеваемости язвенным колитом приходится на возрастную группу от 20 до 40 лет, являющуюся максимально активной в социальном отношении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Второй пик приходится на возраст 60–70 лет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Выявлено, что у городских жителей заболевание встречается чаще, чем у проживающих в сельской местности. Мужчины и женщины страдают язвенным колитом одинаково часто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Однако отдельные недавние исследования продемонстрировали половое различие при заболеваемости язвенным колитом в возрасте 60–70 лет, в которых отмечена большая вероятность заболевания язвенным колитом у мужчин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Механизм такого отличия остается не ясным, но некоторые предположения сводятся к тому, что решающую роль в этом вопросе может играть курение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0" w:name="Эпидемиологи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Эпидемиол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огия</w:t>
      </w:r>
      <w:bookmarkEnd w:id="10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1" w:name="_dx_frag_StartFragment"/>
      <w:bookmarkEnd w:id="11"/>
      <w:r>
        <w:rPr>
          <w:rFonts w:ascii="Times New Roman" w:hAnsi="Times New Roman"/>
          <w:i w:val="0"/>
          <w:color w:val="000000"/>
          <w:sz w:val="28"/>
          <w:shd w:val="clear" w:fill="FFFFFF"/>
        </w:rPr>
        <w:t>Распространенность язвенного колита в России и Беларуси в целом изучена недостаточно. По данным E. V. Loftus, заболеваемость в России составляет 20 на 100 тыс. населения, а распространенность колеблется от 58 до 157 на 100 тыс. населения [5]. По результатам исследований, проведенных А. Р. Златкиной, Е. А. Белоусовой, И. В. Никулиной, распространенность язвенного колита в Московской области составляет 22,3 на 100 тыс. населения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По сравнению с другими регионами в Московской области отмечена высокая частота тяжелых и среднетяжелых форм язвенного колита — 73 %, а уровень летальности достигает 6,4 %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2" w:name="Определен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Определение</w:t>
      </w:r>
      <w:bookmarkEnd w:id="12"/>
    </w:p>
    <w:p>
      <w:pPr>
        <w:keepNext w:val="0"/>
        <w:widowControl w:val="1"/>
        <w:shd w:val="clear" w:fill="auto"/>
        <w:spacing w:lineRule="auto" w:line="276" w:before="0" w:after="28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13" w:name="_dx_frag_StartFragment"/>
      <w:bookmarkEnd w:id="13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Язвенный колит (ЯК)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– хроническое заболевание толстой кишки, характеризующееся иммунным воспалением ее слизистой оболочки.</w:t>
      </w:r>
    </w:p>
    <w:p>
      <w:pPr>
        <w:keepNext w:val="0"/>
        <w:widowControl w:val="1"/>
        <w:shd w:val="clear" w:fill="auto"/>
        <w:spacing w:lineRule="auto" w:line="276" w:before="0" w:after="28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Обострение (рецидив, атака) ЯК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– появление типичных симптомов заболевания у больных ЯК в стадии клинической ремиссии, спонтанной или медикаментозно поддерживаемой. На практике признаками клинического обострения являются увеличение частоты дефекаций с выделением крови и/или характерные изменения, обнаруживаемые при эндоскопическом исследовании толстой кишки.</w:t>
      </w:r>
    </w:p>
    <w:p>
      <w:pPr>
        <w:keepNext w:val="0"/>
        <w:widowControl w:val="1"/>
        <w:shd w:val="clear" w:fill="auto"/>
        <w:spacing w:lineRule="auto" w:line="276" w:before="0" w:after="28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Ремиссия ЯК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– исчезновение основных клинических симптомов заболевания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и заживление слизистой оболочки толстой кишки («глубокая ремиссия»)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28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Ремиссия ЯК, клиническая 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– отсутствие примеси крови в стуле, отсутствие императивных/ложных позывов при частоте дефекаций не более 3 раз в сутки.</w:t>
      </w:r>
    </w:p>
    <w:p>
      <w:pPr>
        <w:keepNext w:val="0"/>
        <w:widowControl w:val="1"/>
        <w:shd w:val="clear" w:fill="auto"/>
        <w:spacing w:lineRule="auto" w:line="276" w:before="0" w:after="280" w:beforeAutospacing="0" w:afterAutospacing="0"/>
        <w:ind w:firstLine="720" w:left="0" w:right="0"/>
        <w:jc w:val="both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Ремиссия ЯК, эндоскопическая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– отсутствие видимых макроскопических признаков воспаления при эндоскопическом исследовании толстой кишки.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Ремиссия ЯК, гистологическая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 – отсутствие микроскопических признаков воспаления.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14" w:name="Историческ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И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стори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ческие</w:t>
      </w:r>
      <w:bookmarkEnd w:id="14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данные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5" w:name="_dx_frag_StartFragment"/>
      <w:bookmarkEnd w:id="15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Самые ранние описания хронической кровавой диареи относятся к временам древней китайской медицины. </w:t>
      </w:r>
      <w:bookmarkStart w:id="16" w:name="_dx_frag_StartFragment"/>
      <w:bookmarkEnd w:id="16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722 г. до н.э. в основополагающем трактате традиционной китайской медицины – «Канон Желтого императора о внутреннем» описаны симптомы (боль в животе, диарея, ректальное кровотечение), напоминающие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7" w:name="_dx_frag_StartFragment"/>
      <w:bookmarkEnd w:id="17"/>
      <w:r>
        <w:rPr>
          <w:rFonts w:ascii="Times New Roman" w:hAnsi="Times New Roman"/>
          <w:i w:val="0"/>
          <w:color w:val="000000"/>
          <w:sz w:val="28"/>
          <w:shd w:val="clear" w:fill="FFFFFF"/>
        </w:rPr>
        <w:t>Многие врачи римского античного общества, включая Гиппократа (460–377 гг.), Аретея (ок. 80–138 гг.) и Сорана Эффеского (170 г.), описывали различные варианты хронической диареи с прожилками крови и язвами в кишке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8" w:name="_dx_frag_StartFragment"/>
      <w:bookmarkEnd w:id="18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IV в. до н.э. великий греческий врач Гиппократ дал описание кровавого стула с прожилками слизи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, а в I в. новой эры Аретей из Каппадокии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отметил особый тип «гнилой эвакуации», встречающийся чаще у женщин, чем у мужчин. Даже если оба врача распознали разные формы диареи, они не могли в то время различить инфекционные и неинфекционные причины заболевания.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19" w:name="_dx_frag_StartFragment"/>
      <w:bookmarkEnd w:id="19"/>
      <w:bookmarkStart w:id="20" w:name="Первы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Первые</w:t>
      </w:r>
      <w:bookmarkEnd w:id="20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сообщения о случаях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1" w:name="_dx_frag_StartFragment"/>
      <w:bookmarkEnd w:id="21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XVII в. во время эпидемии дизентерии в Америке английский врач T. Sydenham [1624–1689 гг.]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подробно описал случаи «кровавого поноса» (“bloody flux”), характеризующегося наличием крови, смешанной с жидким водянистым стулом. Этиология этих симптомов с большей вероятностью была инфекционной, хотя, возможно, среди описанных случаев были случаи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2" w:name="_dx_frag_StartFragment"/>
      <w:bookmarkEnd w:id="22"/>
      <w:r>
        <w:rPr>
          <w:rFonts w:ascii="Times New Roman" w:hAnsi="Times New Roman"/>
          <w:i w:val="0"/>
          <w:color w:val="000000"/>
          <w:sz w:val="28"/>
          <w:shd w:val="clear" w:fill="FFFFFF"/>
        </w:rPr>
        <w:t>Историками высказано предположение, что наследный принц Шотландии Charles Edward Louis Philip (1720–1788) излечился, вероятно, от ЯК, исключив из диеты молочные продукты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3" w:name="_dx_frag_StartFragment"/>
      <w:bookmarkEnd w:id="23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XVIII в. английский врач Birch сообщил о «кровянистой диарее» 40-летнего мужчины, у которого в 1756 г. появился частый жидкий стул с кровью, а 5 лет спустя развились желтуха, лихорадка и эпизодические боли в животе. В последующие годы пациент предъявлял жалобы на боли в глазах и суставах, что могло свидетельствовать о внекишечных проявлениях заболевания. Симптомы продолжались с перерывами, пока пациент не умер в 1774 г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В 1793 г. британский врач и патологоанатом M. Baillie (1761–1823) опубликовал книгу «Патологическая анатомия некоторых наиболее важных частей человеческого тела», в которой предположил, что, принимая во внимание результаты вскрытий, во второй половине XVIII в. люди умирали от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Giovanni Margagni из Италии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впервые сопоставил прижизненные симптомы заболевания с посмертным исследованием органов для идентификации болезни. Его основная работа «De Sedibu et Causis Morborum» (1761 г.) основана на 700 случаях, среди которых были, несомненно, и воспалительные заболевания кишечника (ВЗК).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4" w:name="_dx_frag_StartFragment"/>
      <w:bookmarkEnd w:id="24"/>
      <w:r>
        <w:rPr>
          <w:rFonts w:ascii="Times New Roman" w:hAnsi="Times New Roman"/>
          <w:i w:val="0"/>
          <w:color w:val="000000"/>
          <w:sz w:val="28"/>
          <w:shd w:val="clear" w:fill="FFFFFF"/>
        </w:rPr>
        <w:t>Первое описание морфологической картины ЯК принадлежит венскому патологоанатому Карлу Рокитанскому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, которое он представил в 1842 г. в докладе «О катаральном воспалении кишечника»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Выполнив несколько тысяч вскрытий умерших от инфекционного колита, он описал «язвенноподобный колит». В циркуляре №4 в 1865 г. уже содержалась детальная характеристика гистологической картины ЯК, базирующаяся на исследовании свыше 200 аутопсий. Заболевание описывалось в фолликулах и железистых структурах кишечного эпителия. «Разрыв увеличенных фолликулов приводил к сливным и распространяющимся изъязвлениям»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5" w:name="_dx_frag_StartFragment"/>
      <w:bookmarkEnd w:id="25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1859 г. английский врач C. Уилкс (1824–1911) первым использовал термин «язвенный колит» в описании болезни 42-летней пациентки с диареей и лихорадкой, которые первоначально расценили как отравление мышьяком. Вскрытие показало трансмуральное язвенное воспаление всей толстой кишки и подвздошной кишки, первоначально обозначенное как простой ЯК, но лишь много лет спустя выяснилось, что речь шла о болезни Крона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6" w:name="_dx_frag_StartFragment"/>
      <w:bookmarkEnd w:id="26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1862 г. Samuel Osborne Habershon впервые описал наличие псевдополипов у пациента с ЯК в труде «Болезни брюшной полости»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7" w:name="_dx_frag_StartFragment"/>
      <w:bookmarkEnd w:id="27"/>
      <w:r>
        <w:rPr>
          <w:rFonts w:ascii="Times New Roman" w:hAnsi="Times New Roman"/>
          <w:i w:val="0"/>
          <w:color w:val="000000"/>
          <w:sz w:val="28"/>
          <w:shd w:val="clear" w:fill="FFFFFF"/>
        </w:rPr>
        <w:t>Наиболее подробное описание ЯК представили в 1875 г. Уилкс и Моксон. Примерно в то же время аналогичные сообщения появились в Европе. В 1885 г. Henry William Alchin (1846–1912) сообщил о распространенном язвенном поражении толстой кишки у молодой женщины, умершей после 6 нед острой диареи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8" w:name="_dx_frag_StartFragment"/>
      <w:bookmarkEnd w:id="28"/>
      <w:r>
        <w:rPr>
          <w:rFonts w:ascii="Times New Roman" w:hAnsi="Times New Roman"/>
          <w:i w:val="0"/>
          <w:color w:val="000000"/>
          <w:sz w:val="28"/>
          <w:shd w:val="clear" w:fill="FFFFFF"/>
        </w:rPr>
        <w:t>К 1893 г. врачи Лондонского Гарвейского общества из Германии, Италии и Франции уже отличали диарею, возникающую при ЯК, от диареи, обусловленной инфекцией, в частности дизентерией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29" w:name="_dx_frag_StartFragment"/>
      <w:bookmarkEnd w:id="29"/>
      <w:r>
        <w:rPr>
          <w:rFonts w:ascii="Times New Roman" w:hAnsi="Times New Roman"/>
          <w:i w:val="0"/>
          <w:color w:val="000000"/>
          <w:sz w:val="28"/>
          <w:shd w:val="clear" w:fill="FFFFFF"/>
        </w:rPr>
        <w:t>Английский врач сэр William Hale-White (1857–1949) опубликовал серию клинических случаев «язвенного колита», наблюдавшегося во время эпидемии дизентерии. С этого времени термин «язвенный колит» вошел в общий медицинский словарь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30" w:name="_dx_frag_StartFragment"/>
      <w:bookmarkEnd w:id="30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1913 г. на XIII Съезде российских хирургов А.С. Казаченко из клиники военно-полевой хирургии Медико</w:t>
      </w:r>
      <w:bookmarkStart w:id="31" w:name="_dx_frag_StartFragment"/>
      <w:bookmarkEnd w:id="31"/>
      <w:r>
        <w:rPr>
          <w:rFonts w:ascii="Times New Roman" w:hAnsi="Times New Roman"/>
          <w:i w:val="0"/>
          <w:color w:val="000000"/>
          <w:sz w:val="28"/>
          <w:shd w:val="clear" w:fill="FFFFFF"/>
        </w:rPr>
        <w:t>хирургической академии, руководимой профессором В.А. Оппелем, впервые предложил термин «неспецифический язвенный колит», противопоставив его терминам «дизентерия», «амебиаз» и «туберкулез толстой кишки».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32" w:name="Этиологи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Этиология</w:t>
      </w:r>
      <w:bookmarkEnd w:id="32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и патогенез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3" w:name="_dx_frag_StartFragment"/>
      <w:bookmarkEnd w:id="33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Причины развития ВЗК до конца не определены, а патогенез остается не ясным. По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видимому, кишечное воспаление на фоне ЯК и БК является результатом взаи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модействия между генетическими предрасполагающими факторами и триггерами окружающей среды, приводя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щими к иммуновоспалительному ответу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4" w:name="_dx_frag_StartFragment"/>
      <w:bookmarkEnd w:id="34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настоящее время довольно широко в научном мире распространено мнение, что БК и ЯК являются след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ствием изменения состава микробиоты (устаревший термин — микрофлора) кишечника. Микробиота — тер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мин, обозначающий совокупность всех микробов, на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селяющих отдельные органы и системы человеческого организма и являющихся частью микробиома (совокуп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ность всех микробов, населяющих организм человека, включая такие его участки, как кожа, молочные железы, половые органы, легкие, слизистые оболочки, биологи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ческие жидкости, желчевыводящие пути)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5" w:name="_dx_frag_StartFragment"/>
      <w:bookmarkEnd w:id="35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толстой кишке содержится огромное количество микроорганизмов, играющих метаболическую, трофи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ческую и защитную роль; участвующих в поддержании гомеостаза; предотвращающих чрезмерный рост потен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циально опасных бактерий. Подобное взаимодействие является прекрасным примером симбиоза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 Между организмом хозяина и микробиотой происходит непре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рывное «общение». Вмешательство в этот «диалог» и раз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рушение метаболических связей между микро‑ и макро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миром приводит к так называемому, дисбиозу, который рассматривают как один из факторов развития систем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ных аутоиммунных заболеваний, в том числе ЯК и БК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6" w:name="_dx_frag_StartFragment"/>
      <w:bookmarkEnd w:id="36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Бактерии родов Escherichia, Shigella, Fusobacterium в высокой концентрации обнаруживают в подвздош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ной кишке при ЯК и БК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7" w:name="_dx_frag_StartFragment"/>
      <w:bookmarkEnd w:id="37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Одним из механизмов развития ВЗК на фоне избыточного роста патогенных микроорганизмов считают избыточную реакцию им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мунной системы на патогены у генетически восприим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чивых индивидуумов (носителей определенных типов генов HLA; людей, дефицитных по некоторым цитоки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нам (интерлейкин‑10)). Подтверждением данной теории является положительный эффект от антибактериальной терапии у некоторых пациентов с ВЗК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8" w:name="_dx_frag_StartFragment"/>
      <w:bookmarkEnd w:id="38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Наряду с активным ростом патогенной флоры на фоне ВЗК наблюдают снижение количества полез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ных микроорганизмов в кишечнике, к которым отно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сят Firmicutes, Clostridium coccoides, Bacteroides ovatus, Bacteroides vulgatus, Faecalibacterium prausnitzii. Одним из свойств «полезных» бактерий является ферментация пищевых волокон с образованием короткоцепочечных жирных кислот (КЦЖК). КЦЖК (масляная кислота, пропионовая кислота, бутират натрия) — основной ис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точник энергии для эпителиальных клеток толстой киш‑ки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39" w:name="_dx_frag_StartFragment"/>
      <w:bookmarkEnd w:id="39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В настоящее время большой пласт научной литерату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ры посвящен роли состава рациона питания в развитии воспаления в ЖКТ. Существует мнение, что диета с вы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соким содержанием жиров способствует росту эндоток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син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продуцирующих и сульфатредуцирующих бактерий (Firmicutes, Proteobacteria), связанных с деградацией 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шечного слизистого слоя, вялотекущим воспалением и ин‑сулинорезистентностью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0" w:name="_dx_frag_StartFragment"/>
      <w:bookmarkEnd w:id="40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Здесь же следует упомянуть о важности витамина D в поддержании нормального состава микробиоты 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шечника и недостаточном его содержании у пациентов с ЯК и БК. Недавние исследования показали, что высоко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дозированная пищевая добавка витамина D способству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ет увеличению бактериального богатства и уменьшению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bookmarkStart w:id="41" w:name="_dx_frag_StartFragment"/>
      <w:bookmarkEnd w:id="41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количества патогенной флоры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2" w:name="Клиническа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Клиническая</w:t>
      </w:r>
      <w:bookmarkEnd w:id="42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картина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3" w:name="_dx_frag_StartFragment"/>
      <w:bookmarkEnd w:id="43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клинической картине выделяют три ведущих синдрома, связанных с поражением кишки: нарушения стула, геморрагический и болевой синдромы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Начало заболевания может быть острым или постепенным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4" w:name="_dx_frag_StartFragment"/>
      <w:bookmarkEnd w:id="44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Основной признак — многократный (в тяжелых случаях до 20 раз в сут) водянистый стул с примесью крови, гноя и слизи в сочетании с тенезмами и ложными позывами на дефекацию. Часто при позыве на дефекацию выделяется только кровянистая слизь. Диарея наиболее выражена при поражении правой половины толстого кишечника, где происходит всасывание воды и электролитов. В случае распространения воспалительного процесса в проксимальном направлении на большую часть толстой кишки заболевание сопровождается значительным кровотечением. В начальном периоде заболевания, протекающего в форме проктосигмоидита, может встречаться запор, в основном из-за спазма сигмовидной кишки. В период ремиссии диарея может полностью прекратиться.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5" w:name="_dx_frag_StartFragment"/>
      <w:bookmarkEnd w:id="45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Боли в животе — обычно ноющие, реже — схваткообразные. Локализация болей зависит от протяженности патологического процесса. Чаще всего это область сигмовидной, ободочной и прямой кишки, реже — околопупочная или правая подвздошная области. Типично усиление боли перед дефекацией и ослабление после опорожнения кишечника. У многих больных интенсивность болей нарастает через 30—90 мин после еды. По мере развития заболевания теряется связь между приемами пищи и болями в животе (т.е. угасает гастроколитический рефлекс, при котором вслед за приемом пищи возникает усиленная перистальтика кишечника).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6" w:name="_dx_frag_StartFragment"/>
      <w:bookmarkEnd w:id="46"/>
      <w:r>
        <w:rPr>
          <w:rFonts w:ascii="Times New Roman" w:hAnsi="Times New Roman"/>
          <w:i w:val="0"/>
          <w:color w:val="000000"/>
          <w:sz w:val="28"/>
          <w:shd w:val="clear" w:fill="FFFFFF"/>
        </w:rPr>
        <w:t>Тенезмы — ложные позывы с выделением крови, слизи и гноя («ректальный плевок») практически без каловых масс; являются признаком высокой активности воспалительного процесса в прямой кишке.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7" w:name="_dx_frag_StartFragment"/>
      <w:bookmarkEnd w:id="47"/>
      <w:r>
        <w:rPr>
          <w:rFonts w:ascii="Times New Roman" w:hAnsi="Times New Roman"/>
          <w:i w:val="0"/>
          <w:color w:val="000000"/>
          <w:sz w:val="28"/>
          <w:shd w:val="clear" w:fill="FFFFFF"/>
        </w:rPr>
        <w:t>Запор (обычно сочетается с тенезмами) обусловлен спастическим сокращением сегмента кишки выше поражения, характерен для ограниченных дистальных форм НЯК.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8" w:name="_dx_frag_StartFragment"/>
      <w:bookmarkEnd w:id="48"/>
      <w:r>
        <w:rPr>
          <w:rFonts w:ascii="Times New Roman" w:hAnsi="Times New Roman"/>
          <w:i w:val="0"/>
          <w:color w:val="000000"/>
          <w:sz w:val="28"/>
          <w:shd w:val="clear" w:fill="FFFFFF"/>
        </w:rPr>
        <w:t>Позже присоединяются общие симптомы: анорексия, тошнота и рвота, слабость, снижение массы тела, лихорадка, анемия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49" w:name="_dx_frag_StartFragment"/>
      <w:bookmarkEnd w:id="49"/>
      <w:r>
        <w:rPr>
          <w:rFonts w:ascii="Times New Roman" w:hAnsi="Times New Roman"/>
          <w:i w:val="0"/>
          <w:color w:val="000000"/>
          <w:sz w:val="28"/>
          <w:shd w:val="clear" w:fill="FFFFFF"/>
        </w:rPr>
        <w:t>Фульминантная форма почти всегда характеризуется тотальным поражением толстой кишки, развитием осложнений (токсическая дилатация толстой кишки, перфорация), в большинстве случаев требует срочного хирургического вмешательства. Заболевание начинается остро, в течение 1—2 дней разворачивается выраженная клиническая картина с частотой кровянистого стула более 10 раз в сут, снижением уровня гемоглобина менее 60 г/л, повышением СОЭ более 30 мм/ч.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0" w:name="_dx_frag_StartFragment"/>
      <w:bookmarkEnd w:id="50"/>
      <w:r>
        <w:rPr>
          <w:rFonts w:ascii="Times New Roman" w:hAnsi="Times New Roman"/>
          <w:i w:val="0"/>
          <w:color w:val="000000"/>
          <w:sz w:val="28"/>
          <w:shd w:val="clear" w:fill="FFFFFF"/>
        </w:rPr>
        <w:t>Внекишечные проявления выявляются у 10—20% больных НЯК, чаще — при тотальном поражении толстой кишки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1" w:name="_dx_frag_StartFragment"/>
      <w:bookmarkEnd w:id="51"/>
      <w:r>
        <w:rPr>
          <w:rFonts w:ascii="Times New Roman" w:hAnsi="Times New Roman"/>
          <w:i w:val="0"/>
          <w:color w:val="000000"/>
          <w:sz w:val="28"/>
          <w:shd w:val="clear" w:fill="FFFFFF"/>
        </w:rPr>
        <w:t>Узловатая эритема и гангренозная пиодермия обусловлены наличием циркулирующих иммунных комплексов, бактериальных антигенов и криопротеинов.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2" w:name="_dx_frag_StartFragment"/>
      <w:bookmarkEnd w:id="52"/>
      <w:r>
        <w:rPr>
          <w:rFonts w:ascii="Times New Roman" w:hAnsi="Times New Roman"/>
          <w:i w:val="0"/>
          <w:color w:val="000000"/>
          <w:sz w:val="28"/>
          <w:shd w:val="clear" w:fill="FFFFFF"/>
        </w:rPr>
        <w:t>Афтозный стоматит наблюдается у 10% пациентов с НЯК, афты исчезают по мере снижения активности основного заболевания.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3" w:name="_dx_frag_StartFragment"/>
      <w:bookmarkEnd w:id="53"/>
      <w:r>
        <w:rPr>
          <w:rFonts w:ascii="Times New Roman" w:hAnsi="Times New Roman"/>
          <w:i w:val="0"/>
          <w:color w:val="000000"/>
          <w:sz w:val="28"/>
          <w:shd w:val="clear" w:fill="FFFFFF"/>
        </w:rPr>
        <w:t>Поражение глаз — эписклерит, увеит, конъюнктивит, кератит, ретробульбарный неврит, хориоидит — встречается в 5—8% случаев.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4" w:name="_dx_frag_StartFragment"/>
      <w:bookmarkEnd w:id="54"/>
      <w:r>
        <w:rPr>
          <w:rFonts w:ascii="Times New Roman" w:hAnsi="Times New Roman"/>
          <w:i w:val="0"/>
          <w:color w:val="000000"/>
          <w:sz w:val="28"/>
          <w:shd w:val="clear" w:fill="FFFFFF"/>
        </w:rPr>
        <w:t>Воспалительные поражения суставов (сакроилеит, артриты, анкилозирующий спондилит) могут сочетаться с колитом или возникать до появления основной симптоматики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  <w:bookmarkStart w:id="55" w:name="_dx_frag_StartFragment"/>
      <w:bookmarkEnd w:id="55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Костные проявления: остеопороз, остеомаляция, ишемический и асептический некроз относятся к осложнениям терапии кортикостероидами.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6" w:name="_dx_frag_StartFragment"/>
      <w:bookmarkEnd w:id="56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очерках психиатров в 1930 и 1940-х годах описаны такие черты характера больного ЯК, как «незрелость пациента, нерешительность, чрезмерная зависимость и сложные межличностные отношения, связанные с критическими эмоциональными событиями, включая потерю любимого человека, чувство социального отторжения и материнского доминирования».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57" w:name="Диагностика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Диагностика</w:t>
      </w:r>
      <w:bookmarkEnd w:id="57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Ф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зикальное обследование: </w:t>
      </w:r>
      <w:bookmarkStart w:id="58" w:name="_dx_frag_StartFragment"/>
      <w:bookmarkEnd w:id="58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при физикальном осмотре могут быть обнаружены различные проявления ЯК, включая лихорадку, периферические отеки, дефицит питания, наличие признаков перфорации или токсической дилатации толстой кишки, а также внекишечных проявлений.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bookmarkStart w:id="59" w:name="_dx_frag_StartFragment"/>
      <w:bookmarkEnd w:id="59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Лабораторные методы исследования имеют значение для установления тяжести НЯК. Кроме этого, при длительном течении заболевания вследствие диареи развиваются гипонатриемия, гипохлоремия, гипоальбуминемия, прогрессирует уменьшение массы тела; часто наблюдается анемия. Для тяжелых форм заболевания характерно повышение СОЭ, наличие лейкоцитоза.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0" w:name="_dx_frag_StartFragment"/>
      <w:bookmarkEnd w:id="60"/>
      <w:r>
        <w:rPr>
          <w:rFonts w:ascii="Times New Roman" w:hAnsi="Times New Roman"/>
          <w:i w:val="0"/>
          <w:color w:val="000000"/>
          <w:sz w:val="28"/>
          <w:shd w:val="clear" w:fill="FFFFFF"/>
        </w:rPr>
        <w:t>Эндоскопическое исследование (колоноскопия) с биопсией — основной метод, позволяющий подтвердить диагноз, оценить степень активности воспалительного процесса, установить протяженность процесса, контролировать эффективность лечения. Для НЯК характерны отсутствие сосудистого рисунка, зернистость, гиперемия и отек слизистой оболочки, наличие контактной кровоточивости и/или эрозий и язв. Гистологическое исследование биоптатов проводится с целью подтверждения диагноза: выявляются признаки неспецифического иммунного воспаления, которые, однако, не являются патогномоничными для НЯК.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1" w:name="_dx_frag_StartFragment"/>
      <w:bookmarkEnd w:id="61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фазе ремиссии эндоскопические изменения могут полностью отсутствовать.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2" w:name="_dx_frag_StartFragment"/>
      <w:bookmarkEnd w:id="62"/>
      <w:r>
        <w:rPr>
          <w:rFonts w:ascii="Times New Roman" w:hAnsi="Times New Roman"/>
          <w:i w:val="0"/>
          <w:color w:val="000000"/>
          <w:sz w:val="28"/>
          <w:shd w:val="clear" w:fill="FFFFFF"/>
        </w:rPr>
        <w:t>При тяжелом обострении проведение колоноскопии не всегда возможно из-за опасности развития осложнений.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3" w:name="_dx_frag_StartFragment"/>
      <w:bookmarkEnd w:id="63"/>
      <w:r>
        <w:rPr>
          <w:rFonts w:ascii="Times New Roman" w:hAnsi="Times New Roman"/>
          <w:i w:val="0"/>
          <w:color w:val="000000"/>
          <w:sz w:val="28"/>
          <w:shd w:val="clear" w:fill="FFFFFF"/>
        </w:rPr>
        <w:t>Рентгенологическое исследование (ирригоскопия, ирригография) позволяет установить протяженность процесса по характерным признакам: сглаженность или отсутствия гаустр (симптом «водопроводной трубы»), укорочение толстой кишки; возможно выявление депо бария, соответствующих язвенным дефектам, псевдополипов, стриктур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4" w:name="_dx_frag_StartFragment"/>
      <w:bookmarkEnd w:id="64"/>
      <w:r>
        <w:rPr>
          <w:rFonts w:ascii="Times New Roman" w:hAnsi="Times New Roman"/>
          <w:i w:val="0"/>
          <w:color w:val="000000"/>
          <w:sz w:val="28"/>
          <w:shd w:val="clear" w:fill="FFFFFF"/>
        </w:rPr>
        <w:t>Бактериологическое исследование кала проводится с целью исключения инфекционных колитов.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5" w:name="Дифференциальна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Диффер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е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нциальная</w:t>
      </w:r>
      <w:bookmarkEnd w:id="65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диагностика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6" w:name="_dx_frag_StartFragment"/>
      <w:bookmarkEnd w:id="66"/>
      <w:r>
        <w:rPr>
          <w:rFonts w:ascii="Times New Roman" w:hAnsi="Times New Roman"/>
          <w:i w:val="0"/>
          <w:color w:val="000000"/>
          <w:sz w:val="28"/>
          <w:shd w:val="clear" w:fill="FFFFFF"/>
        </w:rPr>
        <w:t>Я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звенный колит дифференцируют в первую очередь с инфекционными поражениями кишечника, ишемическим колитом, болезнью Крона.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7" w:name="_dx_frag_StartFragment"/>
      <w:bookmarkEnd w:id="67"/>
      <w:r>
        <w:rPr>
          <w:rFonts w:ascii="Times New Roman" w:hAnsi="Times New Roman"/>
          <w:i w:val="0"/>
          <w:color w:val="000000"/>
          <w:sz w:val="28"/>
          <w:shd w:val="clear" w:fill="FFFFFF"/>
        </w:rPr>
        <w:t>При дифференциальной диагностике с инфекционной патологией первостепенное значение имеет микробиологическое исследование кала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8" w:name="_dx_frag_StartFragment"/>
      <w:bookmarkEnd w:id="68"/>
      <w:r>
        <w:rPr>
          <w:rFonts w:ascii="Times New Roman" w:hAnsi="Times New Roman"/>
          <w:i w:val="0"/>
          <w:color w:val="000000"/>
          <w:sz w:val="28"/>
          <w:shd w:val="clear" w:fill="FFFFFF"/>
        </w:rPr>
        <w:t>Ишемический колит. Характерен пожилой возраст больных, типичные рентгенологические признаки (симптом «пальцевых вдавлений», псевдодивертикулы), обнаружение гемосидеринсодержащих макрофагов при гистологическом исследовании биоптатов слизистой оболочки толстой кишки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69" w:name="_dx_frag_StartFragment"/>
      <w:bookmarkEnd w:id="69"/>
      <w:r>
        <w:rPr>
          <w:rFonts w:ascii="Times New Roman" w:hAnsi="Times New Roman"/>
          <w:i w:val="0"/>
          <w:color w:val="000000"/>
          <w:sz w:val="28"/>
          <w:shd w:val="clear" w:fill="FFFFFF"/>
        </w:rPr>
        <w:t>Наибольшие трудности могут возникнуть при разграничении неспецифического язвенного колита и болезни Крона (гранулематозного колита) с локализацией в толстой кишке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0" w:name="Осложнени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Осложнения</w:t>
      </w:r>
      <w:bookmarkEnd w:id="70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язвенного колит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а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1" w:name="_dx_frag_StartFragment"/>
      <w:bookmarkEnd w:id="71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Токсическая дилатация толстой кишки — острое расширение толстой кишки преимущественно нисходящего и поперечного отделов с повышением давления в ее просвете. Клинически характеризуется резким и прогрессирующим ухудшением состояния больного: гипертермией, быстро нарастающей слабостью, болью в животе, частым жидким стулом с обильным выделением крови, гноя, тахикардией, артериальной гипотонией, вздутием живота и ослаблением/ отсутствием кишечных шумов при аускультации. На фоне стероидной терапии клиническая симптоматика может быть стертой. Диагноз подтверждается при </w:t>
      </w:r>
      <w:bookmarkStart w:id="72" w:name="_dx_frag_StartFragment"/>
      <w:bookmarkEnd w:id="72"/>
      <w:r>
        <w:rPr>
          <w:rFonts w:ascii="Times New Roman" w:hAnsi="Times New Roman"/>
          <w:i w:val="0"/>
          <w:color w:val="000000"/>
          <w:sz w:val="28"/>
          <w:shd w:val="clear" w:fill="FFFFFF"/>
        </w:rPr>
        <w:t>обзорной рентгенографии органов брюшной полости. В зависимости от диаметра толстой кишки выделяют 3 степени токсической дилатации: I степень — диаметр кишки менее 8 см; II степень — диаметр кишки 8—14 см; III степень — диаметр кишки более 14 см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3" w:name="_dx_frag_StartFragment"/>
      <w:bookmarkEnd w:id="73"/>
      <w:r>
        <w:rPr>
          <w:rFonts w:ascii="Times New Roman" w:hAnsi="Times New Roman"/>
          <w:i w:val="0"/>
          <w:color w:val="000000"/>
          <w:sz w:val="28"/>
          <w:shd w:val="clear" w:fill="FFFFFF"/>
        </w:rPr>
        <w:t>Перфорация обычно развивается на фоне токсической дилатации толстой кишки и диагностируется по наличию свободного газа в брюшной полости при рентгенологическом исследовании. Характерные симптомы — боли в животе, вздутие, пальпаторная болезненность, симптомы раздражения брюшины — могут быть стерты на фоне приема стероидных препаратов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4" w:name="_dx_frag_StartFragment"/>
      <w:bookmarkEnd w:id="74"/>
      <w:r>
        <w:rPr>
          <w:rFonts w:ascii="Times New Roman" w:hAnsi="Times New Roman"/>
          <w:i w:val="0"/>
          <w:color w:val="000000"/>
          <w:sz w:val="28"/>
          <w:shd w:val="clear" w:fill="FFFFFF"/>
        </w:rPr>
        <w:t>Тромбозы и тромбоэмболии являются проявлением высокой активности воспалительного процесса и развиваются на фоне гиперкоагуляции. Чаще всего наблюдаются тромбозы поверхностных или глубоких вен голени или илиофеморальный тромбоз. Наличие рецидивирующих тромбоэмболий служит показанием для колэктомии.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5" w:name="Лечен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Лечение</w:t>
      </w:r>
      <w:bookmarkEnd w:id="75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6" w:name="_dx_frag_StartFragment"/>
      <w:bookmarkEnd w:id="76"/>
      <w:r>
        <w:rPr>
          <w:rFonts w:ascii="Times New Roman" w:hAnsi="Times New Roman"/>
          <w:i w:val="0"/>
          <w:color w:val="000000"/>
          <w:sz w:val="28"/>
          <w:shd w:val="clear" w:fill="FFFFFF"/>
        </w:rPr>
        <w:t>За последние 70–80 лет терапия ЯК претерпела существенные изменения, что привело к снижению смертности и улучшению качества жизни больных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7" w:name="_dx_frag_StartFragment"/>
      <w:bookmarkEnd w:id="77"/>
      <w:r>
        <w:rPr>
          <w:rFonts w:ascii="Times New Roman" w:hAnsi="Times New Roman"/>
          <w:i w:val="0"/>
          <w:color w:val="000000"/>
          <w:sz w:val="28"/>
          <w:shd w:val="clear" w:fill="FFFFFF"/>
        </w:rPr>
        <w:t>Медицинские вмешательства включали несколько экспериментальных методов лечения, таких как «органотерапия», которая заключалась в кормлении пациентов сырой свиной тонкой кишкой в надежде восполнить недостаток гипотетического фактора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Другим предложенным вариантом лечения была «ионизирующая терапия», которая заключалась в орошении кишечника раствором цинка и затем пропускании электрического тока через раствор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Более того, в 1923 г. в своей статье о ЯК немецкий врач H. Strauss предположил, что в лечении ЯК могут быть полезны щадящая диета и переливание крови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. C. Murray и A. Sullivan были впечатлены хронологической взаимосвязью между эмоциональными расстройствами и появлением кишечных симптомов у мужчин и женщин со значительными эмоциональными нарушениями, связанными с их браком, семейной жизнью и межличностными отношениями </w:t>
      </w:r>
      <w:bookmarkStart w:id="78" w:name="_dx_frag_StartFragment"/>
      <w:bookmarkEnd w:id="78"/>
      <w:r>
        <w:rPr>
          <w:rFonts w:ascii="Times New Roman" w:hAnsi="Times New Roman"/>
          <w:i w:val="0"/>
          <w:color w:val="000000"/>
          <w:sz w:val="28"/>
          <w:shd w:val="clear" w:fill="FFFFFF"/>
        </w:rPr>
        <w:t>что послужило причиной возникновения сообщений о взаимосвязи психогенных факторов и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79" w:name="_dx_frag_StartFragment"/>
      <w:bookmarkEnd w:id="79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1930–1950-е годы психотерапия была важной частью лечения ЯК. Grace, Pinsky и Wolff сообщили о снижении частоты оперативных вмешательств, меньшем количестве серьезных осложнений и более низких показателях смертности у 34 пациентов с ЯК, получавших психотерапию для контроля стресса. Спустя годы Feldman и соавт. в контролируемом исследовании 34 больных ЯК не обнаружили доказательств психогенной причины возникновения ЯК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0" w:name="_dx_frag_StartFragment"/>
      <w:bookmarkEnd w:id="80"/>
      <w:r>
        <w:rPr>
          <w:rFonts w:ascii="Times New Roman" w:hAnsi="Times New Roman"/>
          <w:i w:val="0"/>
          <w:color w:val="000000"/>
          <w:sz w:val="28"/>
          <w:shd w:val="clear" w:fill="FFFFFF"/>
        </w:rPr>
        <w:t>Целями лечения НЯК являются индукция и поддержание клинической и эндоскопической ремиссии, улучшение качества жизни больного, предотвращение возникновения рецидивов и профилактика развития осложнений.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1" w:name="_dx_frag_StartFragment"/>
      <w:bookmarkEnd w:id="81"/>
      <w:r>
        <w:rPr>
          <w:rFonts w:ascii="Times New Roman" w:hAnsi="Times New Roman"/>
          <w:i w:val="0"/>
          <w:color w:val="000000"/>
          <w:sz w:val="28"/>
          <w:shd w:val="clear" w:fill="FFFFFF"/>
        </w:rPr>
        <w:t>Назначаются различные варианты диеты, замедляющей кишечный транзит (4, 4а, 4б), богатой белком, с ограничением жиров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2" w:name="Медикаментозная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Медикаментозная</w:t>
      </w:r>
      <w:bookmarkEnd w:id="82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терапия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3" w:name="_dx_frag_StartFragment"/>
      <w:bookmarkEnd w:id="83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В настоящее время в распоряжении врача имеется достаточно большой арсенал лекарственных средств, эффективных в лечении больных с хроническими воспалительными заболеваниями кишечника. Выбор лекарственных средств и метода лечения зависит от следующих характеристик заболевания у конкретного больного: </w:t>
      </w:r>
      <w:bookmarkStart w:id="84" w:name="_dx_frag_StartFragment"/>
      <w:bookmarkEnd w:id="84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1. Распространенность (локализация) патологического процесса в кишечнике. 2. Степень тяжести обострения (легкая, средняя, тяжелая), которая не всегда коррелирует с распространенностью воспалительного процесса. Определение тяжести заболевания необходимо, в первую очередь, для решения вопроса о необходимости госпитализации пациента и назначения гормональной терапии. 3. Эффективность использованных ранее лекарственных средств (при предыдущем обострении и до начала назначаемой терапии). 4. Наличия осложнений.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5" w:name="_dx_frag_StartFragment"/>
      <w:bookmarkEnd w:id="85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Базисными в лечении НЯК являются две группы препаратов: • Препараты 5-аминосалициловой кислоты (сульфасалазин, месалазин). • Глюкокортикостероиды (ГКС).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6" w:name="Оперативно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Оперативное</w:t>
      </w:r>
      <w:bookmarkEnd w:id="86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лечение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7" w:name="_dx_frag_StartFragment"/>
      <w:bookmarkEnd w:id="87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Показания к оперативному лечению • обоснованное клиническими признаками подозрение на перфорацию кишки; • не поддающаяся целенаправленной комплексной терапии токсическая дилатация толстой кишки; • редкие случаи профузного кишечного кровотечения; • отсутствие эффекта адекватного консервативного лечения: — гормональная резистентность и гормональная зависимость; — неэффективность либо выраженные побочные эффекты при приеме иммуносупрессоров (азатиоприн, метотрексат, циклоспорин); — постоянная угроза развития осложнений гормональной терапии (остеопороз, стероидный диабет, артериальная гипертензия, инфекционные осложнения); • развитие стойких стриктур с явлениями частичной непроходимости кишечника; • рак на фоне хронического воспалительного процесса.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i w:val="0"/>
          <w:color w:val="000000"/>
          <w:sz w:val="28"/>
          <w:shd w:val="clear" w:fill="FFFFFF"/>
        </w:rPr>
        <w:t>Наиболее предпочтительная операция — проктоколэктомия с сохранением естественного ануса.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8" w:name="Прогноз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Прогноз</w:t>
      </w:r>
      <w:bookmarkEnd w:id="88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89" w:name="_dx_frag_StartFragment"/>
      <w:bookmarkEnd w:id="89"/>
      <w:r>
        <w:rPr>
          <w:rFonts w:ascii="Times New Roman" w:hAnsi="Times New Roman"/>
          <w:i w:val="0"/>
          <w:color w:val="000000"/>
          <w:sz w:val="28"/>
          <w:shd w:val="clear" w:fill="FFFFFF"/>
        </w:rPr>
        <w:t>Прогноз при НЯК определяется тяжестью самого заболевания, наличия осложнений, требующих хирургического вмешательства, а также высоким риском развития рака толстой кишки.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0" w:name="_dx_frag_StartFragment"/>
      <w:bookmarkEnd w:id="90"/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Риск малигнизации при НЯК определяется 4 основными факторами: • длительность заболевания (более 8 лет при тотальном колите, более 15 лет при левостороннем колите); </w:t>
      </w:r>
      <w:bookmarkStart w:id="91" w:name="_dx_frag_StartFragment"/>
      <w:bookmarkEnd w:id="91"/>
      <w:r>
        <w:rPr>
          <w:rFonts w:ascii="Times New Roman" w:hAnsi="Times New Roman"/>
          <w:i w:val="0"/>
          <w:color w:val="000000"/>
          <w:sz w:val="28"/>
          <w:shd w:val="clear" w:fill="FFFFFF"/>
        </w:rPr>
        <w:t>• распространенность воспалительного процесса (тотальный колит) и тяжесть заболевания; • возраст первого обострения (моложе 30 лет); • сочетание с первичным склерозирующим холангитом.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2" w:name="_dx_frag_StartFragment"/>
      <w:bookmarkEnd w:id="92"/>
      <w:bookmarkStart w:id="93" w:name="Фармакоэкономическ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Фармакоэкономические</w:t>
      </w:r>
      <w:bookmarkEnd w:id="93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 xml:space="preserve"> аспекты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4" w:name="_dx_frag_StartFragment"/>
      <w:bookmarkEnd w:id="94"/>
      <w:r>
        <w:rPr>
          <w:rFonts w:ascii="Times New Roman" w:hAnsi="Times New Roman"/>
          <w:i w:val="0"/>
          <w:color w:val="000000"/>
          <w:sz w:val="28"/>
          <w:shd w:val="clear" w:fill="FFFFFF"/>
        </w:rPr>
        <w:t>Данные по фармакоэкономике язвенного колита немногочисленны, такие исследования проводились преимущественно в индустриально развитых странах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5" w:name="_dx_frag_StartFragment"/>
      <w:bookmarkEnd w:id="95"/>
      <w:r>
        <w:rPr>
          <w:rFonts w:ascii="Times New Roman" w:hAnsi="Times New Roman"/>
          <w:i w:val="0"/>
          <w:color w:val="000000"/>
          <w:sz w:val="28"/>
          <w:shd w:val="clear" w:fill="FFFFFF"/>
        </w:rPr>
        <w:t>Затраты, связанные с медицинским обслуживанием пациентов с язвенным колитом, весьма значительны. Они особенно возрастают за счет тех больных, которые требуют госпитализации. Материальные расходы определяются многими факторами, такими, например, как возраст, наличие сопутствующей патологии, продолжительность и тяжесть самого заболевания. Средняя стоимость одной госпитализации пациента с язвенным колитом в такой, например, стране, как Канада оценивается в 3750 CAN$. К значительному увеличению затрат в этом случае приводит потребность в хирургическом вмешательстве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Прямые медицинские затраты на лечение пациентов с язвенным колитом в той же Канаде в 2008 г. оценены в 231 млн $. Потери государства на госпитализацию и хирургическое лечение пациентов с язвенным колитом за тот же период составили 116 млн $, на врачебные консультации — 54 млн $, на консервативную терапию — 31 млн $. В представленную оценку прямых медицинских затрат не внесена стоимость консультаций узких специалистов, лабораторной диагностики, социальных услуг и др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6" w:name="_dx_frag_StartFragment"/>
      <w:bookmarkEnd w:id="96"/>
      <w:r>
        <w:rPr>
          <w:rFonts w:ascii="Times New Roman" w:hAnsi="Times New Roman"/>
          <w:i w:val="0"/>
          <w:color w:val="000000"/>
          <w:sz w:val="28"/>
          <w:shd w:val="clear" w:fill="FFFFFF"/>
        </w:rPr>
        <w:t>В то же время повышение приверженности к медикаментозной терапии и сокращение риска обострений заболевания приносит весомую личную и социально-экономическую выгоду. Например, в небольшом исследовании на 42 пациентах с язвенным колитом комбинированная (системная и местная) терапия значительно сократила количество рецидивов заболевания, и в то время, как затраты на лекарственные средства были увеличены, полные затраты, направленные на подавление обострения, снизились на 48 %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7" w:name="_dx_frag_StartFragment"/>
      <w:bookmarkEnd w:id="97"/>
      <w:r>
        <w:rPr>
          <w:rFonts w:ascii="Times New Roman" w:hAnsi="Times New Roman"/>
          <w:i w:val="0"/>
          <w:color w:val="000000"/>
          <w:sz w:val="28"/>
          <w:shd w:val="clear" w:fill="FFFFFF"/>
        </w:rPr>
        <w:t>Таким образом, экономическая эффективность лечения достигается посредством выявления язвенного колита на ранних стадиях его развития и назначения адекватной терапии, в результате чего повышается контроль за заболеванием, уменьшается количество его осложнений, снижаются расходы на лечение пациентов, увеличивается продолжительность и возрастает качество жизни больных язвенным колитом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8" w:name="Заключение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Заключение</w:t>
      </w:r>
      <w:bookmarkEnd w:id="98"/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left"/>
        <w:rPr>
          <w:rFonts w:ascii="Times New Roman" w:hAnsi="Times New Roman"/>
          <w:i w:val="0"/>
          <w:color w:val="000000"/>
          <w:sz w:val="28"/>
          <w:shd w:val="clear" w:fill="FFFFFF"/>
        </w:rPr>
      </w:pPr>
      <w:bookmarkStart w:id="99" w:name="_dx_frag_StartFragment"/>
      <w:bookmarkEnd w:id="99"/>
      <w:r>
        <w:rPr>
          <w:rFonts w:ascii="Times New Roman" w:hAnsi="Times New Roman"/>
          <w:i w:val="0"/>
          <w:color w:val="000000"/>
          <w:sz w:val="28"/>
          <w:shd w:val="clear" w:fill="FFFFFF"/>
        </w:rPr>
        <w:t>ЯК впервые описан в медицинской литературе много веков назад. Но со времен применения сульфасалазина и стероидов, продолжавшегося последние 50–60 лет, наши знания о патогенезе и лечении ЯК изменились. Наступила эпоха биологической терапии. Благодаря альтернативным генно-инженерным препаратам уменьшились показатели смертности, частота обострений и повысилось качество жизни больных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>. Продолжаются изучение патогенеза ВЗК и поиск новых мишеней воздействия биологических препаратов</w:t>
      </w:r>
      <w:r>
        <w:rPr>
          <w:rFonts w:ascii="Times New Roman" w:hAnsi="Times New Roman"/>
          <w:i w:val="0"/>
          <w:color w:val="000000"/>
          <w:sz w:val="28"/>
          <w:shd w:val="clear" w:fill="FFFFFF"/>
        </w:rPr>
        <w:t xml:space="preserve">. </w:t>
      </w:r>
    </w:p>
    <w:p>
      <w:pPr>
        <w:keepNext w:val="0"/>
        <w:widowControl w:val="1"/>
        <w:shd w:val="clear" w:fill="auto"/>
        <w:spacing w:lineRule="auto" w:line="276" w:beforeAutospacing="0" w:afterAutospacing="0"/>
        <w:ind w:firstLine="720"/>
        <w:jc w:val="center"/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</w:pPr>
      <w:bookmarkStart w:id="100" w:name="Список"/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Спи</w:t>
      </w:r>
      <w:r>
        <w:rPr>
          <w:rFonts w:ascii="Times New Roman" w:hAnsi="Times New Roman"/>
          <w:b w:val="1"/>
          <w:i w:val="0"/>
          <w:color w:val="000000"/>
          <w:sz w:val="28"/>
          <w:shd w:val="clear" w:fill="FFFFFF"/>
        </w:rPr>
        <w:t>сок литературы</w:t>
      </w:r>
      <w:bookmarkEnd w:id="100"/>
    </w:p>
    <w:p>
      <w:pPr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</w:pPr>
      <w:bookmarkStart w:id="101" w:name="_dx_frag_StartFragment"/>
      <w:bookmarkEnd w:id="101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Клинические рекомендации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 xml:space="preserve">. </w:t>
      </w:r>
      <w:bookmarkStart w:id="102" w:name="_dx_frag_StartFragment"/>
      <w:bookmarkEnd w:id="102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 xml:space="preserve">Язвенный колит. </w:t>
      </w:r>
      <w:bookmarkStart w:id="103" w:name="_dx_frag_StartFragment"/>
      <w:bookmarkEnd w:id="103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Год утверждения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:2020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.</w:t>
      </w:r>
    </w:p>
    <w:p>
      <w:pPr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</w:pPr>
      <w:bookmarkStart w:id="104" w:name="_dx_frag_StartFragment"/>
      <w:bookmarkEnd w:id="104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С.Р.Абдулхаков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, Р.А.Абдулхаков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05" w:name="_dx_frag_StartFragment"/>
      <w:bookmarkEnd w:id="105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Неспецифический язвенный колит: современные подходы к диагностике и лечению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06" w:name="_dx_frag_StartFragment"/>
      <w:bookmarkEnd w:id="106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ВЕСТНИК СОВРЕМЕННОЙ КЛИНИЧЕСКОЙ МЕДИЦИНЫ 2009 Том 2, вып. 1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. Стр. 32-41</w:t>
      </w:r>
    </w:p>
    <w:p>
      <w:pPr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</w:pPr>
      <w:bookmarkStart w:id="107" w:name="_dx_frag_StartFragment"/>
      <w:bookmarkEnd w:id="107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О.В. Князев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, А.В. Каграманова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 , А.И. Парфенов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08" w:name="_dx_frag_StartFragment"/>
      <w:bookmarkEnd w:id="108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Язвенный колит. К 180-летию описания Карлом Рокитанским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09" w:name="_dx_frag_StartFragment"/>
      <w:bookmarkEnd w:id="109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ТЕРАПЕВТИЧЕСКИЙ АРХИВ. 2021; 93 (12): 1564–1568.</w:t>
      </w:r>
    </w:p>
    <w:p>
      <w:pPr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</w:pPr>
      <w:bookmarkStart w:id="110" w:name="_dx_frag_StartFragment"/>
      <w:bookmarkEnd w:id="110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Т. В. Сатырова, Е. И. Михайлова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11" w:name="_dx_frag_StartFragment"/>
      <w:bookmarkEnd w:id="111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ЯЗВЕННЫЙ КОЛИТ: СОВРЕМЕННЫЙ ВЗГЛЯД НА ЭТИОЛОГИЮ И ПАТОГЕНЕЗ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</w:t>
      </w:r>
      <w:bookmarkStart w:id="112" w:name="_dx_frag_StartFragment"/>
      <w:bookmarkEnd w:id="112"/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Проблемы здоровья и экологии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 xml:space="preserve">.  2010. С</w:t>
      </w:r>
      <w:r>
        <w:rPr>
          <w:rFonts w:ascii="Times New Roman" w:hAnsi="Times New Roman"/>
          <w:b w:val="0"/>
          <w:i w:val="0"/>
          <w:color w:val="000000"/>
          <w:sz w:val="28"/>
          <w:u w:val="none"/>
        </w:rPr>
        <w:t>тр. 7-11</w:t>
      </w:r>
    </w:p>
    <w:p>
      <w:pPr>
        <w:numPr>
          <w:ilvl w:val="0"/>
          <w:numId w:val="1"/>
        </w:numPr>
        <w:jc w:val="left"/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</w:pPr>
      <w:bookmarkStart w:id="113" w:name="_dx_frag_StartFragment"/>
      <w:bookmarkEnd w:id="113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С.А. Булгаков, Г.М. Чернакова, Е.А. Клещева, С.В. Симонова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 xml:space="preserve">. </w:t>
      </w:r>
      <w:bookmarkStart w:id="114" w:name="_dx_frag_StartFragment"/>
      <w:bookmarkEnd w:id="114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Коморбидные воспалительные заболевания пищеварительной системы и органа зрения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 xml:space="preserve">. </w:t>
      </w:r>
      <w:bookmarkStart w:id="115" w:name="_dx_frag_StartFragment"/>
      <w:bookmarkEnd w:id="115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Офтальмология/Ophthalmology in Russia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 xml:space="preserve">. </w:t>
      </w:r>
      <w:bookmarkStart w:id="116" w:name="_dx_frag_StartFragment"/>
      <w:bookmarkEnd w:id="116"/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2021;18(1):20–29</w:t>
      </w:r>
      <w:r>
        <w:rPr>
          <w:rFonts w:ascii="Times New Roman" w:hAnsi="Times New Roman"/>
          <w:b w:val="0"/>
          <w:i w:val="0"/>
          <w:color w:val="000000"/>
          <w:sz w:val="28"/>
          <w:u w:val="none"/>
          <w:shd w:val="clear" w:fill="FFFFFF"/>
        </w:rPr>
        <w:t>.</w:t>
      </w:r>
    </w:p>
    <w:sectPr>
      <w:footerReference xmlns:r="http://schemas.openxmlformats.org/officeDocument/2006/relationships" w:type="default" r:id="RelFtr1"/>
      <w:type w:val="nextPage"/>
      <w:pgMar w:left="1700" w:right="850" w:top="1133" w:bottom="1133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#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528ED1CB"/>
    <w:multiLevelType w:val="hybridMultilevel"/>
    <w:lvl w:ilvl="0" w:tplc="78792497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D7C5B3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39B3C3C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67C7B92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DE8AEE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4DE20647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B8F6BB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8C3E1E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29C990D1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paragraph" w:styleId="P1">
    <w:name w:val="heading 2"/>
    <w:basedOn w:val="P0"/>
    <w:pPr>
      <w:ind w:left="1703" w:right="859"/>
      <w:jc w:val="center"/>
      <w:outlineLvl w:val="1"/>
    </w:pPr>
    <w:rPr>
      <w:sz w:val="28"/>
    </w:rPr>
  </w:style>
  <w:style w:type="paragraph" w:styleId="P2">
    <w:name w:val="Body Text"/>
    <w:basedOn w:val="P0"/>
    <w:pPr/>
    <w:rPr/>
  </w:style>
  <w:style w:type="paragraph" w:styleId="P3">
    <w:name w:val="heading 3"/>
    <w:basedOn w:val="P0"/>
    <w:pPr>
      <w:spacing w:lineRule="exact" w:line="275"/>
      <w:ind w:left="1135"/>
      <w:outlineLvl w:val="2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