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имени профессора В.Ф. Войно-Ясенецкого"</w:t>
      </w: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F7443E" w:rsidRPr="007A272D" w:rsidRDefault="00F7443E" w:rsidP="004F075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 w:rsidRPr="007A2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75A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E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155E4E" w:rsidRPr="00155E4E">
        <w:rPr>
          <w:rFonts w:ascii="Times New Roman" w:hAnsi="Times New Roman" w:cs="Times New Roman"/>
          <w:b/>
          <w:sz w:val="28"/>
          <w:szCs w:val="28"/>
        </w:rPr>
        <w:t xml:space="preserve">Эндоскопическое </w:t>
      </w:r>
      <w:proofErr w:type="spellStart"/>
      <w:r w:rsidR="00155E4E" w:rsidRPr="00155E4E">
        <w:rPr>
          <w:rFonts w:ascii="Times New Roman" w:hAnsi="Times New Roman" w:cs="Times New Roman"/>
          <w:b/>
          <w:sz w:val="28"/>
          <w:szCs w:val="28"/>
        </w:rPr>
        <w:t>лигирование</w:t>
      </w:r>
      <w:proofErr w:type="spellEnd"/>
      <w:r w:rsidR="00155E4E" w:rsidRPr="00155E4E">
        <w:rPr>
          <w:rFonts w:ascii="Times New Roman" w:hAnsi="Times New Roman" w:cs="Times New Roman"/>
          <w:b/>
          <w:sz w:val="28"/>
          <w:szCs w:val="28"/>
        </w:rPr>
        <w:t xml:space="preserve"> в профилактике и лечении кровотечений из </w:t>
      </w:r>
      <w:proofErr w:type="spellStart"/>
      <w:r w:rsidR="00155E4E" w:rsidRPr="00155E4E">
        <w:rPr>
          <w:rFonts w:ascii="Times New Roman" w:hAnsi="Times New Roman" w:cs="Times New Roman"/>
          <w:b/>
          <w:sz w:val="28"/>
          <w:szCs w:val="28"/>
        </w:rPr>
        <w:t>варикозно</w:t>
      </w:r>
      <w:proofErr w:type="spellEnd"/>
      <w:r w:rsidR="00155E4E" w:rsidRPr="00155E4E">
        <w:rPr>
          <w:rFonts w:ascii="Times New Roman" w:hAnsi="Times New Roman" w:cs="Times New Roman"/>
          <w:b/>
          <w:sz w:val="28"/>
          <w:szCs w:val="28"/>
        </w:rPr>
        <w:t xml:space="preserve"> расширенных вен пищевода</w:t>
      </w:r>
      <w:proofErr w:type="gramStart"/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</w:t>
      </w:r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В</w:t>
      </w:r>
      <w:proofErr w:type="gram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ыполнил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Аргаткин</w:t>
      </w:r>
      <w:proofErr w:type="spellEnd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И.</w:t>
      </w:r>
      <w:proofErr w:type="gramStart"/>
      <w:r w:rsidR="004F07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</w:t>
      </w:r>
      <w:proofErr w:type="gramEnd"/>
      <w:r w:rsidRPr="007A272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5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ДМН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7A27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профессор</w:t>
        </w:r>
      </w:hyperlink>
      <w:r w:rsidRPr="007A272D"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272D" w:rsidRPr="007A272D" w:rsidRDefault="007A272D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DB5" w:rsidRDefault="00F7443E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Красноярск 202</w:t>
      </w:r>
      <w:r w:rsidR="00CB2088">
        <w:rPr>
          <w:rFonts w:ascii="Times New Roman" w:hAnsi="Times New Roman" w:cs="Times New Roman"/>
          <w:sz w:val="28"/>
          <w:szCs w:val="28"/>
        </w:rPr>
        <w:t>1</w:t>
      </w:r>
    </w:p>
    <w:p w:rsidR="004F3C27" w:rsidRDefault="004F3C27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C27" w:rsidRPr="007A272D" w:rsidRDefault="004F3C27" w:rsidP="007A272D">
      <w:pPr>
        <w:tabs>
          <w:tab w:val="left" w:pos="283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3E" w:rsidRPr="007A272D" w:rsidRDefault="00F7443E" w:rsidP="007A27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6AA3" w:rsidRPr="00BA6AA3" w:rsidRDefault="00F7443E" w:rsidP="00BA6AA3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Определение, актуальность проблемы</w:t>
      </w:r>
    </w:p>
    <w:p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Этиология и патогенез.</w:t>
      </w:r>
    </w:p>
    <w:p w:rsidR="00F42BB7" w:rsidRPr="007A272D" w:rsidRDefault="00F42BB7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Клиническая классификация.</w:t>
      </w:r>
    </w:p>
    <w:p w:rsidR="00F7443E" w:rsidRPr="007A272D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Клиническая картина.</w:t>
      </w:r>
    </w:p>
    <w:p w:rsidR="00F7443E" w:rsidRDefault="00F7443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Лечение.</w:t>
      </w:r>
    </w:p>
    <w:p w:rsidR="0036755E" w:rsidRPr="007A272D" w:rsidRDefault="0036755E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7A272D" w:rsidRPr="007A272D" w:rsidRDefault="007A272D" w:rsidP="007A27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272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Pr="007A272D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443E" w:rsidRDefault="00F7443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55E" w:rsidRPr="007A272D" w:rsidRDefault="0036755E" w:rsidP="007A272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27" w:rsidRDefault="004F3C2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27" w:rsidRDefault="004F3C2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27" w:rsidRDefault="004F3C2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27" w:rsidRDefault="004F3C27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6AA3" w:rsidRDefault="00BA6AA3" w:rsidP="00BA6AA3">
      <w:pPr>
        <w:pStyle w:val="a4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E4E" w:rsidRDefault="00366519" w:rsidP="00155E4E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Определение, актуальность.</w:t>
      </w:r>
    </w:p>
    <w:p w:rsidR="00155E4E" w:rsidRPr="004E4880" w:rsidRDefault="00155E4E" w:rsidP="00155E4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7887" w:rsidRPr="004E4880" w:rsidRDefault="00936299" w:rsidP="0036651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>Портальная гипертензия (ПГ) — синдром, возникающий вследствие затруднения тока крови в портальной системе, приводящий к высокому портальному давлению (свыше 140–160 мм вод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т.),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, варикозному расширению вен пищевода, желудка, прямой кишки, кровотечениям их них, развитию асцита и печеночной недостаточности. </w:t>
      </w:r>
    </w:p>
    <w:p w:rsidR="00936299" w:rsidRPr="004E4880" w:rsidRDefault="00936299" w:rsidP="0036651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Увеличение числа больных циррозом печени за последние десятилетия стало одной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 проблем современной медицины. Самым опасным осложнением при этом заболевании является острое кровотечение из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(ВРВ) пищевода и желудка. При первом эпизоде кровотечения летальность составляет около 50%, а частота развития рецидива, по данным различных авторов, колеблется от 45 до 90%.</w:t>
      </w:r>
    </w:p>
    <w:p w:rsidR="00936299" w:rsidRPr="004E4880" w:rsidRDefault="00936299" w:rsidP="0036651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>В последние годы отмечена определенная переоценка взглядов на тактику лечения пищеводно-желудочных кровотечений у больных с ПГ. Это связано в первую очередь с достижениями фармакологии, совершенствованием ангиографической, эндоскопической и хирургической техники, развитием трансплантации печени. Кроме того, уточняются показания и противопоказания к применению уже существующих методов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Консервативное лечение кровотечений из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(ВРВ).В настоящее время у больных с кровотечениями из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пищевода и желудка общепринятым первоочередным методом гемостаза является установка зонда-обтуратора . Использование зонда-обтуратора в составе комплексной терапии позволяет добиться непосредственного гемостаза у 50-90% больных. Однако гемостаз зондом чаще является временным и в дальнейшем у 20-40% больных развиваются рецидивы кровотечения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 xml:space="preserve"> </w:t>
      </w:r>
      <w:r w:rsidR="004E4880" w:rsidRPr="004E48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880" w:rsidRPr="004E4880">
        <w:rPr>
          <w:rFonts w:ascii="Times New Roman" w:hAnsi="Times New Roman" w:cs="Times New Roman"/>
          <w:sz w:val="28"/>
          <w:szCs w:val="28"/>
        </w:rPr>
        <w:t xml:space="preserve"> Таким больным требуется эндоскопический подход. </w:t>
      </w:r>
    </w:p>
    <w:p w:rsidR="00F42BB7" w:rsidRDefault="00F7443E" w:rsidP="00366519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519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патогенез.</w:t>
      </w:r>
    </w:p>
    <w:p w:rsidR="00366519" w:rsidRDefault="004E4880" w:rsidP="004E488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Портальная гипертензия может развиваться при различных патологических процессах, сопровождающихся нарушением кровотока в системе воротной вены.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В соответствии с анатомическим расположением препятствия кровотоку форма портальной гипертензии может быть классифицирована как </w:t>
      </w:r>
      <w:proofErr w:type="spellStart"/>
      <w:r w:rsidRPr="004E4880">
        <w:rPr>
          <w:rFonts w:ascii="Times New Roman" w:hAnsi="Times New Roman" w:cs="Times New Roman"/>
          <w:i/>
          <w:iCs/>
          <w:sz w:val="28"/>
          <w:szCs w:val="28"/>
        </w:rPr>
        <w:t>подпеченочная</w:t>
      </w:r>
      <w:proofErr w:type="spellEnd"/>
      <w:r w:rsidRPr="004E488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E4880">
        <w:rPr>
          <w:rFonts w:ascii="Times New Roman" w:hAnsi="Times New Roman" w:cs="Times New Roman"/>
          <w:sz w:val="28"/>
          <w:szCs w:val="28"/>
        </w:rPr>
        <w:t>(с вовлечением селезеночной, брыжеечной или воротной вен), </w:t>
      </w:r>
      <w:r w:rsidRPr="004E4880">
        <w:rPr>
          <w:rFonts w:ascii="Times New Roman" w:hAnsi="Times New Roman" w:cs="Times New Roman"/>
          <w:i/>
          <w:iCs/>
          <w:sz w:val="28"/>
          <w:szCs w:val="28"/>
        </w:rPr>
        <w:t>внутрипеченочная</w:t>
      </w:r>
      <w:r w:rsidRPr="004E4880">
        <w:rPr>
          <w:rFonts w:ascii="Times New Roman" w:hAnsi="Times New Roman" w:cs="Times New Roman"/>
          <w:sz w:val="28"/>
          <w:szCs w:val="28"/>
        </w:rPr>
        <w:t> (заболевания печени) и </w:t>
      </w:r>
      <w:proofErr w:type="spellStart"/>
      <w:r w:rsidRPr="004E4880">
        <w:rPr>
          <w:rFonts w:ascii="Times New Roman" w:hAnsi="Times New Roman" w:cs="Times New Roman"/>
          <w:i/>
          <w:iCs/>
          <w:sz w:val="28"/>
          <w:szCs w:val="28"/>
        </w:rPr>
        <w:t>надпеченочная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> (заболевания, приводящие к нарушению венозного оттока от печени)</w:t>
      </w:r>
      <w:proofErr w:type="gramEnd"/>
    </w:p>
    <w:p w:rsidR="004F3C27" w:rsidRPr="004E4880" w:rsidRDefault="004F3C27" w:rsidP="004E488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2BB7" w:rsidRPr="00936299" w:rsidRDefault="00F42BB7" w:rsidP="004F3C27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  <w:t>Клиническая классификация.</w:t>
      </w:r>
    </w:p>
    <w:p w:rsidR="004E4880" w:rsidRDefault="00936299" w:rsidP="009362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В классификации К.-J.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Paquet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(1983 г.), которой пользуются в ККБ, выделяют 4 степени ВРВП: </w:t>
      </w:r>
    </w:p>
    <w:p w:rsidR="004E4880" w:rsidRDefault="00936299" w:rsidP="009362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lastRenderedPageBreak/>
        <w:t>– I степень — единичные эктазии вен (видны при ФГДС, но рентгенологически не определяются);</w:t>
      </w:r>
    </w:p>
    <w:p w:rsidR="004E4880" w:rsidRDefault="00936299" w:rsidP="009362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 – II степень — единичные хорошо отграниченные стволы вен, преимущественно в нижней трети пищевода, которые при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инсуфляции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остаются отчетливо выраженными. При этом отсутствует сужение просвета пищевода и истончение эпителия на венах;</w:t>
      </w:r>
    </w:p>
    <w:p w:rsidR="004E4880" w:rsidRDefault="00936299" w:rsidP="009362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 – III степень — стволы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в нижней и средней трети пищевода, сужающие его просвет и частично уменьшающиеся только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 сильной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инсуфляции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воздуха. На верхушках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выявляются единичные красные маркеры или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>;</w:t>
      </w:r>
    </w:p>
    <w:p w:rsidR="00936299" w:rsidRPr="004E4880" w:rsidRDefault="00936299" w:rsidP="0093629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4880">
        <w:rPr>
          <w:rFonts w:ascii="Times New Roman" w:hAnsi="Times New Roman" w:cs="Times New Roman"/>
          <w:sz w:val="28"/>
          <w:szCs w:val="28"/>
        </w:rPr>
        <w:t xml:space="preserve"> – IV степень — варикозные узлы, которыми полностью выполнен просвет пищевода даже при </w:t>
      </w:r>
      <w:proofErr w:type="gramStart"/>
      <w:r w:rsidRPr="004E4880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4E4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инсуфляции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воздуха.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выявляется истончение эпителия над венами. На верхушках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 xml:space="preserve"> расширенных вен определяются множественные эрозии и/или </w:t>
      </w:r>
      <w:proofErr w:type="spellStart"/>
      <w:r w:rsidRPr="004E4880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4E4880">
        <w:rPr>
          <w:rFonts w:ascii="Times New Roman" w:hAnsi="Times New Roman" w:cs="Times New Roman"/>
          <w:sz w:val="28"/>
          <w:szCs w:val="28"/>
        </w:rPr>
        <w:t>.</w:t>
      </w:r>
    </w:p>
    <w:p w:rsidR="00A22770" w:rsidRDefault="00A22770" w:rsidP="00A22770">
      <w:pPr>
        <w:pStyle w:val="a4"/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DD"/>
        </w:rPr>
      </w:pPr>
    </w:p>
    <w:p w:rsidR="00F42BB7" w:rsidRDefault="00F42BB7" w:rsidP="004F3C27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2D">
        <w:rPr>
          <w:rFonts w:ascii="Times New Roman" w:hAnsi="Times New Roman" w:cs="Times New Roman"/>
          <w:b/>
          <w:bCs/>
          <w:sz w:val="28"/>
          <w:szCs w:val="28"/>
        </w:rPr>
        <w:t>Клиническая картина.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ind w:firstLine="36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Японское научное общество по изучению портальной гипертензии в 1991 году разработало правила для регистрации эндоскопических признаков ВРВ пищевода и желудка, состоящие из 6 основных позиций: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 xml:space="preserve">I.  Определение распространенности ВРВ по пищеводу и ВРВ желудка относительно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кардии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>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II.  Форма (внешний вид и размер).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III.  Цвет как косвенный признак толщины стенок ВРВ.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 xml:space="preserve">IV.  «Красные маркеры» —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телеангиоэктазии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, пятна «красной вишни»,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гематоцистные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пятна.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V.    Признаки кровотечения — при остром кровотечении устанавливается его интенсивность; в случае спонтанного гемостаза оценивается характер тромба.</w:t>
      </w:r>
    </w:p>
    <w:p w:rsidR="00A5069F" w:rsidRDefault="0013433F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VI.  Измене</w:t>
      </w:r>
      <w:r>
        <w:rPr>
          <w:rFonts w:eastAsiaTheme="minorHAnsi"/>
          <w:sz w:val="28"/>
          <w:szCs w:val="28"/>
          <w:lang w:eastAsia="en-US"/>
        </w:rPr>
        <w:t>ние слизистой оболочки пищевода.</w:t>
      </w:r>
    </w:p>
    <w:p w:rsidR="008F580B" w:rsidRPr="0013433F" w:rsidRDefault="008F580B" w:rsidP="0013433F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</w:p>
    <w:p w:rsidR="0011473D" w:rsidRPr="008F580B" w:rsidRDefault="0011473D" w:rsidP="008F580B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0B">
        <w:rPr>
          <w:rFonts w:ascii="Times New Roman" w:hAnsi="Times New Roman" w:cs="Times New Roman"/>
          <w:b/>
          <w:bCs/>
          <w:sz w:val="28"/>
          <w:szCs w:val="28"/>
        </w:rPr>
        <w:t>Методы лечения.</w:t>
      </w:r>
    </w:p>
    <w:p w:rsidR="0013433F" w:rsidRPr="0013433F" w:rsidRDefault="0013433F" w:rsidP="008F580B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b/>
          <w:bCs/>
          <w:sz w:val="28"/>
          <w:szCs w:val="28"/>
          <w:lang w:eastAsia="en-US"/>
        </w:rPr>
        <w:t>Методика эндоскопических методов гемостаза при ВРВП</w:t>
      </w:r>
    </w:p>
    <w:p w:rsidR="0013433F" w:rsidRPr="0013433F" w:rsidRDefault="0013433F" w:rsidP="004F3C27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 xml:space="preserve">На сегодняшний день среди эндоскопических методов остановки кровотечения и профилактики его рецидива наиболее широко применяется метод эндоскопической инъекционной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(ЭС).</w:t>
      </w:r>
    </w:p>
    <w:p w:rsidR="0013433F" w:rsidRDefault="0013433F" w:rsidP="004F3C27">
      <w:pPr>
        <w:pStyle w:val="a5"/>
        <w:shd w:val="clear" w:color="auto" w:fill="FFFFFF"/>
        <w:spacing w:before="240" w:beforeAutospacing="0" w:after="24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 xml:space="preserve">Технические особенности метода различаются по способу введения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склерозирующего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вещества: а)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интравазальная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склеротерапия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— если препарат вводится </w:t>
      </w:r>
      <w:r w:rsidRPr="0013433F">
        <w:rPr>
          <w:rFonts w:eastAsiaTheme="minorHAnsi"/>
          <w:sz w:val="28"/>
          <w:szCs w:val="28"/>
          <w:lang w:eastAsia="en-US"/>
        </w:rPr>
        <w:lastRenderedPageBreak/>
        <w:t xml:space="preserve">непосредственно в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варикозно-расширенный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узел; б)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паравазальная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склеротерапия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— когда препарат вводится в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подслизистый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слой из нескольких точек рядом с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варикозно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 xml:space="preserve"> расширенным узлом; в) комбинированный метод — предполагает использование комбинацию двух первых методик.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proofErr w:type="gramStart"/>
      <w:r w:rsidRPr="004F3C27">
        <w:rPr>
          <w:rFonts w:eastAsiaTheme="minorHAnsi"/>
          <w:sz w:val="28"/>
          <w:szCs w:val="28"/>
          <w:lang w:eastAsia="en-US"/>
        </w:rPr>
        <w:t>Эндоскопическое</w:t>
      </w:r>
      <w:proofErr w:type="gramEnd"/>
      <w:r w:rsidRPr="004F3C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склерозирование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ВРВ пищевода основано на облитерации варикозных вен после введения в просвет вены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через эндоскоп с помощью длинной иглы. Наряду с 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интравазальным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способом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существует метод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паравазального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введения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, в результате чего происходит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сдавление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варикозных узлов – первоначально за счет отека, а затем за счет образования соединительной ткани.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интравазального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введения чаще используют </w:t>
      </w:r>
      <w:hyperlink r:id="rId7" w:history="1">
        <w:r w:rsidRPr="004F3C27">
          <w:rPr>
            <w:rFonts w:eastAsiaTheme="minorHAnsi"/>
            <w:sz w:val="28"/>
            <w:szCs w:val="28"/>
            <w:lang w:eastAsia="en-US"/>
          </w:rPr>
          <w:t xml:space="preserve">натрия </w:t>
        </w:r>
        <w:proofErr w:type="spellStart"/>
        <w:r w:rsidRPr="004F3C27">
          <w:rPr>
            <w:rFonts w:eastAsiaTheme="minorHAnsi"/>
            <w:sz w:val="28"/>
            <w:szCs w:val="28"/>
            <w:lang w:eastAsia="en-US"/>
          </w:rPr>
          <w:t>тетрадецилсульфат</w:t>
        </w:r>
        <w:proofErr w:type="spellEnd"/>
      </w:hyperlink>
      <w:r w:rsidRPr="004F3C27">
        <w:rPr>
          <w:rFonts w:eastAsiaTheme="minorHAnsi"/>
          <w:sz w:val="28"/>
          <w:szCs w:val="28"/>
          <w:lang w:eastAsia="en-US"/>
        </w:rPr>
        <w:t> (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Тромбовар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) 5–10 мл на одну инъекцию. Применяется также 3%-ный раствор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Этоксисклерола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. После введения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необходимо сдавить вену в местах пункции. Это обеспечит образование тромба в результате отека эндотелия сосуда. За один сеанс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тромбируют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не более двух варикозных стволов вен во избежание усиления застоя в варикозных венах желудка. Для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паравазального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введения из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склерозирующих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агентов обычно используется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Этоксисклерол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, который содержит 5–20 мг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полидоканола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 1 мл этилового спирта. Чаще применяется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Этоксисклерол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0,5%. При каждой инъекции вводят не более 3–4 мл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. Обычно осуществляют от 15 до 20 инъекций. За один сеанс расходуется до 24–36 мл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склерозанта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. Вводимый по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инъектору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склерозант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создает по обеим сторонам варикозной вены плотный отек, сдавливающий сосуд.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 xml:space="preserve">Процедура выполняется под внутривенной анестезией.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Склеротерапия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начинается от области эзофагокардиального перехода и продолжается в проксимальном направлении.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 xml:space="preserve">По окончании сеанса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варикозные вены практически не определяются в отечной слизистой оболочке.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Подтекание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крови из мест проколов обычно незначительно и не требует принятия дополнительных мер.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 xml:space="preserve">Ближайший период после сеанса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обычно не сопровождается болевыми ощущениями. Больному разрешают пить и принимать жидкую пищу через 6–8 часов после процедуры.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 xml:space="preserve">После первого сеанса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через пять дней процедуру повторяют. При этом стараются охватить участки пищевода с ВРВ, которые оказались вне зоны действия первого сеанса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. Третий сеанс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проводят через 30 дней. При этом оценивают эффективность проводимого лечения, динамику уменьшения степени ВРВ и отсутствие угрозы кровотечения. Четвертый сеанс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назначают через три месяца.</w:t>
      </w:r>
    </w:p>
    <w:p w:rsidR="004F3C27" w:rsidRPr="004F3C27" w:rsidRDefault="004F3C27" w:rsidP="004F3C27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4F3C27">
        <w:rPr>
          <w:rFonts w:eastAsiaTheme="minorHAnsi"/>
          <w:sz w:val="28"/>
          <w:szCs w:val="28"/>
          <w:lang w:eastAsia="en-US"/>
        </w:rPr>
        <w:t>Глубокий рубцовый процесс в 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подслизистом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слое пищевода и желудка при повторных сеансах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предотвращает возможность развития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предсуществующих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венозных коллатералей и варикозной трансформации. Лечение продолжается до достижения эффекта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эрадикации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либо положительного результата. Для этого </w:t>
      </w:r>
      <w:r w:rsidRPr="004F3C27">
        <w:rPr>
          <w:rFonts w:eastAsiaTheme="minorHAnsi"/>
          <w:sz w:val="28"/>
          <w:szCs w:val="28"/>
          <w:lang w:eastAsia="en-US"/>
        </w:rPr>
        <w:lastRenderedPageBreak/>
        <w:t xml:space="preserve">требуется в среднем четыре-пять сеансов </w:t>
      </w:r>
      <w:proofErr w:type="spellStart"/>
      <w:r w:rsidRPr="004F3C27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4F3C27">
        <w:rPr>
          <w:rFonts w:eastAsiaTheme="minorHAnsi"/>
          <w:sz w:val="28"/>
          <w:szCs w:val="28"/>
          <w:lang w:eastAsia="en-US"/>
        </w:rPr>
        <w:t xml:space="preserve"> в год. Динамический контроль осуществляется в последующем один раз в шесть месяцев. При необходимости лечение повторяется.</w:t>
      </w:r>
    </w:p>
    <w:p w:rsidR="004F3C27" w:rsidRPr="0013433F" w:rsidRDefault="004F3C27" w:rsidP="008F580B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</w:p>
    <w:p w:rsidR="0013433F" w:rsidRPr="0013433F" w:rsidRDefault="0013433F" w:rsidP="0013433F">
      <w:pPr>
        <w:pStyle w:val="3"/>
        <w:shd w:val="clear" w:color="auto" w:fill="FFFFFF"/>
        <w:spacing w:before="0"/>
        <w:ind w:left="720"/>
        <w:textAlignment w:val="baseline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343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Эндоскопическое</w:t>
      </w:r>
      <w:proofErr w:type="gramEnd"/>
      <w:r w:rsidRPr="001343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1343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лигирование</w:t>
      </w:r>
      <w:proofErr w:type="spellEnd"/>
      <w:r w:rsidRPr="0013433F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ВРВП (ЭЛ)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 xml:space="preserve">Последнее десятилетие ознаменовалось активным поиском альтернативного эндоскопического метода, который по своей эффективности не уступал бы инъекционной </w:t>
      </w:r>
      <w:proofErr w:type="spellStart"/>
      <w:r w:rsidRPr="0013433F">
        <w:rPr>
          <w:rFonts w:eastAsiaTheme="minorHAnsi"/>
          <w:sz w:val="28"/>
          <w:szCs w:val="28"/>
          <w:lang w:eastAsia="en-US"/>
        </w:rPr>
        <w:t>склеротерапии</w:t>
      </w:r>
      <w:proofErr w:type="spellEnd"/>
      <w:r w:rsidRPr="0013433F">
        <w:rPr>
          <w:rFonts w:eastAsiaTheme="minorHAnsi"/>
          <w:sz w:val="28"/>
          <w:szCs w:val="28"/>
          <w:lang w:eastAsia="en-US"/>
        </w:rPr>
        <w:t>, однако был бы более прост в исполнении и приводил к меньшему проценту осложнений. Выделяют три различных клинические задачи ЭЛ: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I. ЭЛ — как метод диагностики остановки кровотечения из ВРВП.</w:t>
      </w:r>
    </w:p>
    <w:p w:rsidR="0013433F" w:rsidRPr="0013433F" w:rsidRDefault="0013433F" w:rsidP="0013433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II. ЭЛ — как метод профилактики рецидива кровотечения из ВПВП.</w:t>
      </w:r>
    </w:p>
    <w:p w:rsidR="0013433F" w:rsidRDefault="0013433F" w:rsidP="0013433F">
      <w:pPr>
        <w:pStyle w:val="a5"/>
        <w:shd w:val="clear" w:color="auto" w:fill="FFFFFF"/>
        <w:spacing w:before="240" w:beforeAutospacing="0" w:after="240" w:afterAutospacing="0"/>
        <w:ind w:left="720"/>
        <w:textAlignment w:val="baseline"/>
        <w:rPr>
          <w:rFonts w:eastAsiaTheme="minorHAnsi"/>
          <w:sz w:val="28"/>
          <w:szCs w:val="28"/>
          <w:lang w:eastAsia="en-US"/>
        </w:rPr>
      </w:pPr>
      <w:r w:rsidRPr="0013433F">
        <w:rPr>
          <w:rFonts w:eastAsiaTheme="minorHAnsi"/>
          <w:sz w:val="28"/>
          <w:szCs w:val="28"/>
          <w:lang w:eastAsia="en-US"/>
        </w:rPr>
        <w:t>III. Превентивное лечение — профилактика первого кровотечения.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 xml:space="preserve">Для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ВРВ используется специальное устройство –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лигатор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Лигатор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состоит из нескольких частей: дистального колпачка с лигатурами, винта-рукоятки, при помощи которого сбрасываются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лигирующие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кольца, и соединяющей их металлической или капроновой струны, которая проводится через инструментальный канал. Дистальный колпачок сделан из ригидного прозрачного пластика, надевается на дистальный конец эндо</w:t>
      </w:r>
      <w:r w:rsidRPr="008F580B">
        <w:rPr>
          <w:rFonts w:eastAsiaTheme="minorHAnsi"/>
          <w:sz w:val="28"/>
          <w:szCs w:val="28"/>
          <w:lang w:eastAsia="en-US"/>
        </w:rPr>
        <w:softHyphen/>
        <w:t xml:space="preserve">скопа. На наружной поверхности колпачка расположены растянутые латексные кольца-лигатуры. Процесс освобождения (сбрасывания) кольца-лигатуры осуществляется путем натягивания закрепленной на нем нити. Устройство собирается непосредственно перед использованием в единую конструкцию. У данной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лигирующей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системы натягивающаяся нить располагается в специальном канале колпачка, что исключает ее попадание в поле зрения и срабатывание автоматической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светокоррекции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эндоскопа. Это в свою очередь значительно улучшает визуализацию, 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> следовательно, и безопасность самой процедуры.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>Операцию проводят под внутривенной анестезией. Спокойное состояние больного позволяет минимизировать технические трудности на этапе проведения дистального конца аппарата с 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лигирующим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устройством в просвет пищевода, а также является важным моментом профилактики кровотечения и разрыва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варикса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при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лигировании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>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 xml:space="preserve">Проведение аппарата в пищевод может сопровождаться определенными трудностями. Колпачок с лигатурами на дистальном конце эндоскопа обладает ригидностью и встречает естественное сопротивление на уровне грушевидного синуса и нижнего глоточного сфинктера. Аппарат проводится до области пищеводно-желудочного перехода 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 xml:space="preserve"> минимальной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инсуффляции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воздуха во избежание срыгивания и разрыва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вариксов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>. Детальный осмотр желудка с диагностической целью, особенно в инверсионном положении, нецелесообразен. Дистальный колпачок с предустановленными кольцами значительно сужает поле зрения и его освещенность. К моменту принятия решения о 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лигировании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диагностические вопросы должны быть </w:t>
      </w:r>
      <w:r w:rsidRPr="008F580B">
        <w:rPr>
          <w:rFonts w:eastAsiaTheme="minorHAnsi"/>
          <w:sz w:val="28"/>
          <w:szCs w:val="28"/>
          <w:lang w:eastAsia="en-US"/>
        </w:rPr>
        <w:lastRenderedPageBreak/>
        <w:t xml:space="preserve">полностью решены. При необходимости контрольного диагностического исследования его лучше провести непосредственно перед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лигированием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>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>После проведения эндоскопа с 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лигирующим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устройством приступают к 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лигированию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>, при этом начинают с области эзофагокардиального перехода, чуть выше зубчатой линии.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>Кольца накладываются по спирали. Необходимо избегать наложения лигатурных колец в одной плоскости по окружности для профилактики дисфагии в ближайшем и отдаленном периодах.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 xml:space="preserve">Выбранный варикозный узел на аспирации максимально втягивается в просвет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лигирующего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колпачка. После этого лигатуру сбрасывают на основани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 xml:space="preserve"> узла. Тогда становится видно, что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лигированный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узел меняет окраску 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 xml:space="preserve"> синюшную. Необходимо возобновить подачу воздуха и несколько извлечь эндо</w:t>
      </w:r>
      <w:r w:rsidRPr="008F580B">
        <w:rPr>
          <w:rFonts w:eastAsiaTheme="minorHAnsi"/>
          <w:sz w:val="28"/>
          <w:szCs w:val="28"/>
          <w:lang w:eastAsia="en-US"/>
        </w:rPr>
        <w:softHyphen/>
        <w:t xml:space="preserve">скоп: данные манипуляции позволяют удалить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лигированный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узел из цилиндра. В зависимости от степени выраженности ВРВ за сеанс накладывается до десяти лигатур</w:t>
      </w:r>
      <w:r w:rsidRPr="008F580B">
        <w:rPr>
          <w:rFonts w:eastAsiaTheme="minorHAnsi"/>
          <w:sz w:val="28"/>
          <w:szCs w:val="28"/>
          <w:lang w:eastAsia="en-US"/>
        </w:rPr>
        <w:br/>
        <w:t>(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см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>. рисунок).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Лигирование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ВРВ при продолжающемся или состоявшемся кровотечении имеет некоторые технические особенности. Первую лигатуру необходимо накладывать на источник кровотечения. Затем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лигируются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остальные ВРВ.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proofErr w:type="gramStart"/>
      <w:r w:rsidRPr="008F580B">
        <w:rPr>
          <w:rFonts w:eastAsiaTheme="minorHAnsi"/>
          <w:sz w:val="28"/>
          <w:szCs w:val="28"/>
          <w:lang w:eastAsia="en-US"/>
        </w:rPr>
        <w:t>В первые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 xml:space="preserve"> сутки после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назначают только питье холодной воды, со вторых суток – определенное питание (стол № 1). Следует избегать больших глотков. Пища должна быть прохладной, жидкой или протертой. При болях целесообразно назначать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Алмагель</w:t>
      </w:r>
      <w:proofErr w:type="spellEnd"/>
      <w:proofErr w:type="gramStart"/>
      <w:r w:rsidRPr="008F580B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> с местным анестетиком. При интенсивных болях за грудиной рекомендуется применение анальгетиков группы нестероидных противовоспалительных препаратов. Болевой синдром обычно купируется к третьим суткам.</w:t>
      </w:r>
    </w:p>
    <w:p w:rsidR="008F580B" w:rsidRPr="008F580B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 xml:space="preserve">Со вторых по седьмые сутки после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узлы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некротизируются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, уменьшаются в размерах, густо покрываются фибрином с последующим отторжением некротических тканей вместе с лигатурами и образованием поверхностных изъязвлений. Язвы заживают к 14–21-му дню, оставляя звездчатые рубчики без стеноза просвета пищевода. К концу второго месяца после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подслизистый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слой замещается рубцовой тканью, а мышечный остается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интактным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>.</w:t>
      </w:r>
    </w:p>
    <w:p w:rsidR="005B5677" w:rsidRDefault="008F580B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8F580B">
        <w:rPr>
          <w:rFonts w:eastAsiaTheme="minorHAnsi"/>
          <w:sz w:val="28"/>
          <w:szCs w:val="28"/>
          <w:lang w:eastAsia="en-US"/>
        </w:rPr>
        <w:t xml:space="preserve">В отсутствие осложнений </w:t>
      </w:r>
      <w:proofErr w:type="gramStart"/>
      <w:r w:rsidRPr="008F580B">
        <w:rPr>
          <w:rFonts w:eastAsiaTheme="minorHAnsi"/>
          <w:sz w:val="28"/>
          <w:szCs w:val="28"/>
          <w:lang w:eastAsia="en-US"/>
        </w:rPr>
        <w:t>контрольная</w:t>
      </w:r>
      <w:proofErr w:type="gramEnd"/>
      <w:r w:rsidRPr="008F580B">
        <w:rPr>
          <w:rFonts w:eastAsiaTheme="minorHAnsi"/>
          <w:sz w:val="28"/>
          <w:szCs w:val="28"/>
          <w:lang w:eastAsia="en-US"/>
        </w:rPr>
        <w:t xml:space="preserve"> ЭГДС выполняется через месяц после операции. Дополнительные сеансы </w:t>
      </w:r>
      <w:proofErr w:type="spellStart"/>
      <w:r w:rsidRPr="008F580B">
        <w:rPr>
          <w:rFonts w:eastAsiaTheme="minorHAnsi"/>
          <w:sz w:val="28"/>
          <w:szCs w:val="28"/>
          <w:lang w:eastAsia="en-US"/>
        </w:rPr>
        <w:t>лигирования</w:t>
      </w:r>
      <w:proofErr w:type="spellEnd"/>
      <w:r w:rsidRPr="008F580B">
        <w:rPr>
          <w:rFonts w:eastAsiaTheme="minorHAnsi"/>
          <w:sz w:val="28"/>
          <w:szCs w:val="28"/>
          <w:lang w:eastAsia="en-US"/>
        </w:rPr>
        <w:t xml:space="preserve"> назначаются при недостаточности первого сеанса, а также при возникновении со временем новых стволов варикозных вен.</w:t>
      </w:r>
    </w:p>
    <w:p w:rsidR="004F3C27" w:rsidRDefault="004F3C27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F3C27" w:rsidRDefault="004F3C27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F3C27" w:rsidRPr="008F580B" w:rsidRDefault="004F3C27" w:rsidP="008F580B">
      <w:pPr>
        <w:pStyle w:val="a5"/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07223B" w:rsidRPr="004F3C27" w:rsidRDefault="0007223B" w:rsidP="004F3C27">
      <w:pPr>
        <w:pStyle w:val="a4"/>
        <w:numPr>
          <w:ilvl w:val="0"/>
          <w:numId w:val="2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C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Эндоскопическое</w:t>
      </w:r>
      <w:proofErr w:type="gramEnd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лигирование</w:t>
      </w:r>
      <w:proofErr w:type="spellEnd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ВРВП является: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эффективным методом первичной (превентивной) профилактики возникновения кровотечения;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эффективным средством гемостаза на высоте кровотечения из ВРВП;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эффективным способом профилактики кровотечения у больных с кровотечением из ВРВП в анамнезе;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малоинвазивным</w:t>
      </w:r>
      <w:proofErr w:type="spellEnd"/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доступным широкому применению методом с минимальным числом осложнений;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2.Эндоскопические методы коррекции ПГ должны проводиться в сочетании с медикаментозной терапией основного заболевания.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3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3.Эндоскопические методы коррекции ПГ целесообразно проводить в специализированных лечебно-диагностических учреждениях с современной диагностической базой, где возможно комплексное (консервативное, эндоскопическое, ангиографическое и оперативное) лечение.</w:t>
      </w:r>
    </w:p>
    <w:p w:rsidR="0013433F" w:rsidRPr="0013433F" w:rsidRDefault="0013433F" w:rsidP="0013433F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272D" w:rsidRPr="00451B2A" w:rsidRDefault="007A272D" w:rsidP="007A272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ED1" w:rsidRDefault="002D0ED1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23B" w:rsidRDefault="0007223B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70A" w:rsidRDefault="0055770A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70A" w:rsidRDefault="0055770A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70A" w:rsidRDefault="0055770A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B2A" w:rsidRPr="00451B2A" w:rsidRDefault="007A272D" w:rsidP="00451B2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8F580B" w:rsidRPr="004F3C27" w:rsidRDefault="004F3C27" w:rsidP="004F3C27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F580B"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Эндоскопическая диагностика, лечение и профилактика кровотечений портального генеза/К.В. </w:t>
      </w:r>
      <w:proofErr w:type="spellStart"/>
      <w:r w:rsidR="008F580B"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Шишин</w:t>
      </w:r>
      <w:proofErr w:type="spellEnd"/>
      <w:r w:rsidR="008F580B"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"ЭФФЕКТИВНАЯ ФАРМАКОТЕРАПИЯ. Гастроэнтерология" </w:t>
      </w:r>
      <w:proofErr w:type="spellStart"/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Спецвыпуск</w:t>
      </w:r>
      <w:proofErr w:type="spellEnd"/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№2 (43)</w:t>
      </w:r>
    </w:p>
    <w:p w:rsidR="004F3C27" w:rsidRPr="004F3C27" w:rsidRDefault="004F3C27" w:rsidP="004F3C27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F3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2.КЛИНИЧЕСКИЕ РЕКОМЕНДАЦИИ ПО ЛЕЧЕНИЮ КРОВОТЕЧЕНИЙ ИЗ ВАРИКОЗНО РАСШИРЕННЫХ ВЕН ПИЩЕВОДА И ЖЕЛУДКА</w:t>
      </w:r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((г. Воронеж, 5-6 июня 2014 г.)</w:t>
      </w:r>
      <w:proofErr w:type="gramEnd"/>
    </w:p>
    <w:p w:rsidR="004F3C27" w:rsidRDefault="004F3C27" w:rsidP="004F3C27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hyperlink r:id="rId8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А.А. ФИЛИН</w:t>
        </w:r>
      </w:hyperlink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9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А.В. ФИЛИН</w:t>
        </w:r>
      </w:hyperlink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0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ВРВП</w:t>
        </w:r>
      </w:hyperlink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1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Е.В. КИМ</w:t>
        </w:r>
      </w:hyperlink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2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Л.М. МЯУКИНА</w:t>
        </w:r>
      </w:hyperlink>
      <w:r w:rsidRPr="004F3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3" w:history="1">
        <w:r w:rsidRPr="004F3C27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ПРАКТИЧЕСКАЯ МЕДИЦИНА 02 (08) ЭНДОСКОПИЯ. ЭНДОХИРУРГИЯ. ОНКОЛОГИЯ</w:t>
        </w:r>
      </w:hyperlink>
    </w:p>
    <w:p w:rsidR="004F3C27" w:rsidRPr="004F3C27" w:rsidRDefault="004F3C27" w:rsidP="004F3C27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F3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4. Эндоскопические методы лечения и профилактики кровотечений у больных с варикозными венами пищевода и желудка/А.А. Филин, Л.М. </w:t>
      </w:r>
      <w:proofErr w:type="spellStart"/>
      <w:r w:rsidRPr="004F3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Мяукина</w:t>
      </w:r>
      <w:proofErr w:type="spellEnd"/>
      <w:r w:rsidRPr="004F3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А.В. Филин/2011</w:t>
      </w:r>
    </w:p>
    <w:p w:rsidR="008F580B" w:rsidRPr="004F3C27" w:rsidRDefault="008F580B" w:rsidP="004F3C27">
      <w:pPr>
        <w:shd w:val="clear" w:color="auto" w:fill="FFFFFF"/>
        <w:spacing w:after="0" w:line="240" w:lineRule="auto"/>
        <w:ind w:firstLine="192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F580B" w:rsidRPr="004F3C27" w:rsidSect="008F5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40"/>
    <w:multiLevelType w:val="multilevel"/>
    <w:tmpl w:val="D96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153"/>
    <w:multiLevelType w:val="multilevel"/>
    <w:tmpl w:val="D0A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D629C"/>
    <w:multiLevelType w:val="multilevel"/>
    <w:tmpl w:val="A75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74CAF"/>
    <w:multiLevelType w:val="multilevel"/>
    <w:tmpl w:val="248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C5958"/>
    <w:multiLevelType w:val="multilevel"/>
    <w:tmpl w:val="C1B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37184"/>
    <w:multiLevelType w:val="hybridMultilevel"/>
    <w:tmpl w:val="CF9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5A47"/>
    <w:multiLevelType w:val="hybridMultilevel"/>
    <w:tmpl w:val="EC48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2B96"/>
    <w:multiLevelType w:val="multilevel"/>
    <w:tmpl w:val="AB3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A3621"/>
    <w:multiLevelType w:val="hybridMultilevel"/>
    <w:tmpl w:val="FEDC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AAA"/>
    <w:multiLevelType w:val="hybridMultilevel"/>
    <w:tmpl w:val="1B446192"/>
    <w:lvl w:ilvl="0" w:tplc="51A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F5496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DB5"/>
    <w:rsid w:val="0007223B"/>
    <w:rsid w:val="000820FB"/>
    <w:rsid w:val="000C6EC3"/>
    <w:rsid w:val="0011473D"/>
    <w:rsid w:val="001301AA"/>
    <w:rsid w:val="0013433F"/>
    <w:rsid w:val="00155E4E"/>
    <w:rsid w:val="002D0ED1"/>
    <w:rsid w:val="00366519"/>
    <w:rsid w:val="0036755E"/>
    <w:rsid w:val="003F642A"/>
    <w:rsid w:val="00451B2A"/>
    <w:rsid w:val="00474BDF"/>
    <w:rsid w:val="004E2976"/>
    <w:rsid w:val="004E4880"/>
    <w:rsid w:val="004F075A"/>
    <w:rsid w:val="004F3C27"/>
    <w:rsid w:val="0055770A"/>
    <w:rsid w:val="005B4803"/>
    <w:rsid w:val="005B5677"/>
    <w:rsid w:val="005F2DB5"/>
    <w:rsid w:val="00667225"/>
    <w:rsid w:val="006F2F93"/>
    <w:rsid w:val="007A272D"/>
    <w:rsid w:val="008A0771"/>
    <w:rsid w:val="008F580B"/>
    <w:rsid w:val="00936299"/>
    <w:rsid w:val="00A22770"/>
    <w:rsid w:val="00A5069F"/>
    <w:rsid w:val="00AD65A2"/>
    <w:rsid w:val="00AD7D26"/>
    <w:rsid w:val="00AE66A5"/>
    <w:rsid w:val="00BA6AA3"/>
    <w:rsid w:val="00C2163A"/>
    <w:rsid w:val="00C96D91"/>
    <w:rsid w:val="00CB2088"/>
    <w:rsid w:val="00DD446B"/>
    <w:rsid w:val="00E3777F"/>
    <w:rsid w:val="00E500BB"/>
    <w:rsid w:val="00F42BB7"/>
    <w:rsid w:val="00F7443E"/>
    <w:rsid w:val="00F9371C"/>
    <w:rsid w:val="00FB6135"/>
    <w:rsid w:val="00F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E"/>
  </w:style>
  <w:style w:type="paragraph" w:styleId="1">
    <w:name w:val="heading 1"/>
    <w:basedOn w:val="a"/>
    <w:next w:val="a"/>
    <w:link w:val="10"/>
    <w:uiPriority w:val="9"/>
    <w:qFormat/>
    <w:rsid w:val="0045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06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B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uthor-name">
    <w:name w:val="author-name"/>
    <w:basedOn w:val="a0"/>
    <w:rsid w:val="00451B2A"/>
  </w:style>
  <w:style w:type="character" w:styleId="a9">
    <w:name w:val="Emphasis"/>
    <w:basedOn w:val="a0"/>
    <w:uiPriority w:val="20"/>
    <w:qFormat/>
    <w:rsid w:val="004E48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3433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a">
    <w:name w:val="Strong"/>
    <w:basedOn w:val="a0"/>
    <w:uiPriority w:val="22"/>
    <w:qFormat/>
    <w:rsid w:val="00134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archive.ru/tag/a-a-filin/" TargetMode="External"/><Relationship Id="rId13" Type="http://schemas.openxmlformats.org/officeDocument/2006/relationships/hyperlink" Target="http://pmarchive.ru/tag/pm-02-08-endoskop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lsnet.ru/mnn_index_id_1299.htm" TargetMode="External"/><Relationship Id="rId12" Type="http://schemas.openxmlformats.org/officeDocument/2006/relationships/hyperlink" Target="http://pmarchive.ru/tag/l-m-myauk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scititle%5d=2" TargetMode="External"/><Relationship Id="rId11" Type="http://schemas.openxmlformats.org/officeDocument/2006/relationships/hyperlink" Target="http://pmarchive.ru/tag/e-v-kim/" TargetMode="External"/><Relationship Id="rId5" Type="http://schemas.openxmlformats.org/officeDocument/2006/relationships/hyperlink" Target="https://krasgmu.ru/index.php?page%5bcommon%5d=search&amp;cat=user&amp;c%5bdegree%5d=2&amp;c%5bdegrees%5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marchive.ru/tag/vrv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archive.ru/tag/a-v-fil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Нейджек</dc:creator>
  <cp:lastModifiedBy>Игорь</cp:lastModifiedBy>
  <cp:revision>4</cp:revision>
  <dcterms:created xsi:type="dcterms:W3CDTF">2021-05-12T16:31:00Z</dcterms:created>
  <dcterms:modified xsi:type="dcterms:W3CDTF">2021-05-17T13:15:00Z</dcterms:modified>
</cp:coreProperties>
</file>