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Памятка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Анализ мочи по Нечипоренко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3a3a3a"/>
          <w:highlight w:val="white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3a3a3a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highlight w:val="white"/>
          <w:rtl w:val="0"/>
        </w:rPr>
        <w:t xml:space="preserve">Анализ мочи по Нечипоренко позволяет более точно определить количественное содержание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highlight w:val="white"/>
          <w:rtl w:val="0"/>
        </w:rPr>
        <w:t xml:space="preserve">эритроцитов, лейкоцитов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highlight w:val="white"/>
          <w:rtl w:val="0"/>
        </w:rPr>
        <w:t xml:space="preserve"> и цилиндров, чем общий клинический анализ мочи. Оба исследования проводятся с использованием микроскопии, но в пробе Нечипоренко осуществляется подсчет элементов в единице объема жидкости, а не по числу клеток или цилиндров в поле зрения. 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rPr>
          <w:rFonts w:ascii="Times New Roman" w:cs="Times New Roman" w:eastAsia="Times New Roman" w:hAnsi="Times New Roman"/>
          <w:b w:val="1"/>
          <w:color w:val="202122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2"/>
          <w:sz w:val="21"/>
          <w:szCs w:val="21"/>
          <w:highlight w:val="white"/>
          <w:rtl w:val="0"/>
        </w:rPr>
        <w:t xml:space="preserve">В норме допустимы следующие показатели: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120" w:lineRule="auto"/>
        <w:ind w:left="108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Лейкоциты — до 2000;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08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Эритроциты — до 1000;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0" w:before="0" w:beforeAutospacing="0" w:lineRule="auto"/>
        <w:ind w:left="108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Цилиндры — до 20</w:t>
      </w:r>
    </w:p>
    <w:p w:rsidR="00000000" w:rsidDel="00000000" w:rsidP="00000000" w:rsidRDefault="00000000" w:rsidRPr="00000000" w14:paraId="00000009">
      <w:pPr>
        <w:shd w:fill="ffffff" w:val="clear"/>
        <w:spacing w:after="100" w:before="100" w:lineRule="auto"/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В силу относительной простоты и высокой информативности этот метод получил широкое распространение. Его используют для диагностики различных воспалительных процессов мочевыводящей системы (цистит, пиелонефрит), выявления крови в моче (гематурия) и цилиндрурии.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rPr>
          <w:rFonts w:ascii="Times New Roman" w:cs="Times New Roman" w:eastAsia="Times New Roman" w:hAnsi="Times New Roman"/>
          <w:b w:val="1"/>
          <w:color w:val="202122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2"/>
          <w:sz w:val="21"/>
          <w:szCs w:val="21"/>
          <w:highlight w:val="white"/>
          <w:rtl w:val="0"/>
        </w:rPr>
        <w:t xml:space="preserve">Показания для проведения исследования: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120" w:lineRule="auto"/>
        <w:ind w:left="14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Наличие клинических проявлений заболевания органов мочевой системы при нормальном общем анализе мочи;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20" w:before="0" w:beforeAutospacing="0" w:lineRule="auto"/>
        <w:ind w:left="14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Перенесенное ранее воспалительное заболевание органов мочевой системы.</w:t>
      </w:r>
    </w:p>
    <w:p w:rsidR="00000000" w:rsidDel="00000000" w:rsidP="00000000" w:rsidRDefault="00000000" w:rsidRPr="00000000" w14:paraId="0000000D">
      <w:pPr>
        <w:shd w:fill="ffffff" w:val="clear"/>
        <w:spacing w:after="20" w:before="120" w:lineRule="auto"/>
        <w:rPr>
          <w:rFonts w:ascii="Times New Roman" w:cs="Times New Roman" w:eastAsia="Times New Roman" w:hAnsi="Times New Roman"/>
          <w:color w:val="2021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0" w:before="120" w:lineRule="auto"/>
        <w:rPr>
          <w:rFonts w:ascii="Times New Roman" w:cs="Times New Roman" w:eastAsia="Times New Roman" w:hAnsi="Times New Roman"/>
          <w:color w:val="2021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0" w:before="120" w:lineRule="auto"/>
        <w:rPr>
          <w:rFonts w:ascii="Times New Roman" w:cs="Times New Roman" w:eastAsia="Times New Roman" w:hAnsi="Times New Roman"/>
          <w:color w:val="2021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0" w:before="120" w:lineRule="auto"/>
        <w:rPr>
          <w:rFonts w:ascii="Times New Roman" w:cs="Times New Roman" w:eastAsia="Times New Roman" w:hAnsi="Times New Roman"/>
          <w:color w:val="2021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0" w:before="120" w:lineRule="auto"/>
        <w:rPr>
          <w:rFonts w:ascii="Times New Roman" w:cs="Times New Roman" w:eastAsia="Times New Roman" w:hAnsi="Times New Roman"/>
          <w:color w:val="2021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0" w:before="120" w:lineRule="auto"/>
        <w:rPr>
          <w:rFonts w:ascii="Times New Roman" w:cs="Times New Roman" w:eastAsia="Times New Roman" w:hAnsi="Times New Roman"/>
          <w:color w:val="2021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0" w:before="120" w:lineRule="auto"/>
        <w:rPr>
          <w:rFonts w:ascii="Times New Roman" w:cs="Times New Roman" w:eastAsia="Times New Roman" w:hAnsi="Times New Roman"/>
          <w:color w:val="2021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0" w:before="120" w:lineRule="auto"/>
        <w:rPr>
          <w:rFonts w:ascii="Times New Roman" w:cs="Times New Roman" w:eastAsia="Times New Roman" w:hAnsi="Times New Roman"/>
          <w:b w:val="1"/>
          <w:color w:val="2021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2"/>
          <w:highlight w:val="white"/>
          <w:rtl w:val="0"/>
        </w:rPr>
        <w:t xml:space="preserve">Инструкция по сбору анализа мочи по Нечипоренко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Собирается средняя порция утренней мочи сразу после сна.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Моча собирается в чистую сухую непищевую посуду (лучше всего – в специальную посуду для сбора мочи)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Анализ не назначается в дни менструации.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Накануне вечером посуду для сбора мочи необходимо ополоснуть изнутри кипящей водой, перевернуть и поставить на бумажную или х/б салфетку до утра.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Утром перед сдачей мочи женщинам необходимо провести туалет наружных половых органов по направлению спереди назад слабым мыльным раствором.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После гигиенических процедур начать мочеиспускание в унитаз, затем в чистую посуду для мочи; окончить мочеиспускание в унитаз.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Необходимый объем для исследования – 50,0 мл.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1"/>
          <w:szCs w:val="21"/>
          <w:highlight w:val="white"/>
          <w:rtl w:val="0"/>
        </w:rPr>
        <w:t xml:space="preserve">Собранная моча и направление передать постовой медсестре (в лабораторию).</w:t>
      </w:r>
    </w:p>
    <w:p w:rsidR="00000000" w:rsidDel="00000000" w:rsidP="00000000" w:rsidRDefault="00000000" w:rsidRPr="00000000" w14:paraId="0000001D">
      <w:pPr>
        <w:shd w:fill="ffffff" w:val="clear"/>
        <w:spacing w:after="20" w:before="120" w:lineRule="auto"/>
        <w:rPr>
          <w:rFonts w:ascii="Times New Roman" w:cs="Times New Roman" w:eastAsia="Times New Roman" w:hAnsi="Times New Roman"/>
          <w:color w:val="2021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0" w:before="120" w:lineRule="auto"/>
        <w:rPr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3a3a3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3a3a3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3a3a3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3a3a3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3a3a3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3a3a3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3a3a3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3a3a3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3a3a3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3a3a3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3a3a3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3a3a3a"/>
          <w:sz w:val="18"/>
          <w:szCs w:val="18"/>
          <w:highlight w:val="white"/>
        </w:rPr>
      </w:pPr>
      <w:r w:rsidDel="00000000" w:rsidR="00000000" w:rsidRPr="00000000">
        <w:rPr>
          <w:b w:val="1"/>
          <w:color w:val="3a3a3a"/>
          <w:sz w:val="18"/>
          <w:szCs w:val="18"/>
          <w:highlight w:val="white"/>
          <w:rtl w:val="0"/>
        </w:rPr>
        <w:t xml:space="preserve">Лещенко А.В. 209-1 группа, 2020 г.</w:t>
      </w:r>
    </w:p>
    <w:sectPr>
      <w:type w:val="continuous"/>
      <w:pgSz w:h="16834" w:w="11909"/>
      <w:pgMar w:bottom="1440" w:top="1440" w:left="1440" w:right="1440" w:header="720" w:footer="720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021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02122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