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B6" w:rsidRPr="00A81812" w:rsidRDefault="004F5FB6" w:rsidP="004F5FB6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812">
        <w:rPr>
          <w:rFonts w:ascii="Times New Roman" w:eastAsia="Calibri" w:hAnsi="Times New Roman" w:cs="Times New Roman"/>
          <w:b/>
          <w:sz w:val="28"/>
          <w:szCs w:val="28"/>
        </w:rPr>
        <w:t>Лекция №25</w:t>
      </w:r>
    </w:p>
    <w:p w:rsidR="004F5FB6" w:rsidRPr="00A81812" w:rsidRDefault="004F5FB6" w:rsidP="004F5FB6">
      <w:pPr>
        <w:spacing w:after="0" w:line="240" w:lineRule="auto"/>
        <w:ind w:left="-540"/>
        <w:rPr>
          <w:rFonts w:ascii="Times New Roman" w:eastAsia="Calibri" w:hAnsi="Times New Roman" w:cs="Times New Roman"/>
          <w:sz w:val="20"/>
          <w:szCs w:val="20"/>
        </w:rPr>
      </w:pPr>
      <w:r w:rsidRPr="00A81812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 «Изготовление мягких и твердых гомеопатических лекарственных форм»</w:t>
      </w:r>
    </w:p>
    <w:p w:rsidR="004F5FB6" w:rsidRPr="00A81812" w:rsidRDefault="004F5FB6" w:rsidP="004F5FB6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FB6" w:rsidRPr="00A81812" w:rsidRDefault="004F5FB6" w:rsidP="004F5FB6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812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4F5FB6" w:rsidRPr="00A81812" w:rsidRDefault="004F5FB6" w:rsidP="004F5FB6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1. Мази  гомеопатические.</w:t>
      </w:r>
    </w:p>
    <w:p w:rsidR="004F5FB6" w:rsidRPr="00A81812" w:rsidRDefault="004F5FB6" w:rsidP="004F5FB6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2. Суппозитории и гранулы.</w:t>
      </w:r>
    </w:p>
    <w:p w:rsidR="004F5FB6" w:rsidRPr="00A81812" w:rsidRDefault="004F5FB6" w:rsidP="004F5FB6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FB6" w:rsidRPr="00AE25D0" w:rsidRDefault="004F5FB6" w:rsidP="004F5F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25D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Мази  гомеопатические.</w:t>
      </w:r>
    </w:p>
    <w:p w:rsidR="004F5FB6" w:rsidRPr="00AE25D0" w:rsidRDefault="004F5FB6" w:rsidP="004F5FB6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25D0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Мягкая лекарственная форма для наружного применения. Состоят </w:t>
      </w:r>
      <w:r w:rsidR="00AF0F05">
        <w:rPr>
          <w:rFonts w:ascii="Times New Roman" w:eastAsia="Calibri" w:hAnsi="Times New Roman" w:cs="Times New Roman"/>
          <w:sz w:val="28"/>
          <w:szCs w:val="28"/>
        </w:rPr>
        <w:t xml:space="preserve">мази </w:t>
      </w:r>
      <w:r w:rsidRPr="00A81812">
        <w:rPr>
          <w:rFonts w:ascii="Times New Roman" w:eastAsia="Calibri" w:hAnsi="Times New Roman" w:cs="Times New Roman"/>
          <w:sz w:val="28"/>
          <w:szCs w:val="28"/>
        </w:rPr>
        <w:t>из основы и распределенных в ней равномерно</w:t>
      </w:r>
      <w:r w:rsidR="00AE25D0">
        <w:rPr>
          <w:rFonts w:ascii="Times New Roman" w:eastAsia="Calibri" w:hAnsi="Times New Roman" w:cs="Times New Roman"/>
          <w:sz w:val="28"/>
          <w:szCs w:val="28"/>
        </w:rPr>
        <w:t xml:space="preserve"> одного или несколько</w:t>
      </w: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 гомеопатических лекарственных средств. </w:t>
      </w:r>
    </w:p>
    <w:p w:rsidR="00400EE5" w:rsidRPr="00400EE5" w:rsidRDefault="004F5FB6" w:rsidP="00400EE5">
      <w:pPr>
        <w:spacing w:after="100" w:afterAutospacing="1"/>
        <w:ind w:left="-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Классификация гомеопатических мазей </w:t>
      </w:r>
      <w:r w:rsidR="00400EE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400EE5" w:rsidRPr="00400EE5">
        <w:rPr>
          <w:rFonts w:ascii="Times New Roman" w:hAnsi="Times New Roman" w:cs="Times New Roman"/>
          <w:color w:val="333333"/>
          <w:sz w:val="28"/>
          <w:szCs w:val="28"/>
        </w:rPr>
        <w:t>о типу дисперсных систем мази могут быть гомогенными (сплавы, растворы), гетерогенными (суспензионные и эмульсионные) и комбинированными.</w:t>
      </w:r>
    </w:p>
    <w:p w:rsidR="00400EE5" w:rsidRPr="00400EE5" w:rsidRDefault="00400EE5" w:rsidP="00400EE5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EE5">
        <w:rPr>
          <w:rFonts w:ascii="Times New Roman" w:hAnsi="Times New Roman" w:cs="Times New Roman"/>
          <w:color w:val="333333"/>
          <w:sz w:val="28"/>
          <w:szCs w:val="28"/>
        </w:rPr>
        <w:t>В зависимости от консистентных свойств мази подразделяются на собственно мази, гели, кремы, пасты и линименты.</w:t>
      </w:r>
    </w:p>
    <w:p w:rsidR="00AE25D0" w:rsidRDefault="00AE25D0" w:rsidP="00AE25D0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консистенции и составу: собственно мази гомеопатические и оподельдоки гомеопатические.</w:t>
      </w:r>
    </w:p>
    <w:p w:rsidR="00AE25D0" w:rsidRDefault="00AE25D0" w:rsidP="00AE25D0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5D0">
        <w:rPr>
          <w:rFonts w:ascii="Times New Roman" w:eastAsia="Calibri" w:hAnsi="Times New Roman" w:cs="Times New Roman"/>
          <w:b/>
          <w:sz w:val="28"/>
          <w:szCs w:val="28"/>
        </w:rPr>
        <w:t>Собственно мази гомеопатические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мягкая лекарственная форма, состоящая из основы и равномерно распределенных в ней одного или нескольких активных компонентов в гомеопатических разведениях.</w:t>
      </w:r>
    </w:p>
    <w:p w:rsidR="00AE25D0" w:rsidRPr="00AE25D0" w:rsidRDefault="00AE25D0" w:rsidP="00AE25D0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5D0">
        <w:rPr>
          <w:rFonts w:ascii="Times New Roman" w:eastAsia="Calibri" w:hAnsi="Times New Roman" w:cs="Times New Roman"/>
          <w:b/>
          <w:sz w:val="28"/>
          <w:szCs w:val="28"/>
        </w:rPr>
        <w:t>Оподельдок гомеопатический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мыльный линимент, состоящий из основы и смеси активных компонентов в гомеопатических разведениях</w:t>
      </w:r>
    </w:p>
    <w:p w:rsidR="002F0917" w:rsidRDefault="004F5FB6" w:rsidP="002F0917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5D0">
        <w:rPr>
          <w:rFonts w:ascii="Times New Roman" w:eastAsia="Calibri" w:hAnsi="Times New Roman" w:cs="Times New Roman"/>
          <w:b/>
          <w:sz w:val="28"/>
          <w:szCs w:val="28"/>
        </w:rPr>
        <w:t>Классификация основ также соответствует ГФ.</w:t>
      </w:r>
      <w:r w:rsidRPr="00AE2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917">
        <w:rPr>
          <w:rFonts w:ascii="Times New Roman" w:eastAsia="Calibri" w:hAnsi="Times New Roman" w:cs="Times New Roman"/>
          <w:sz w:val="28"/>
          <w:szCs w:val="28"/>
        </w:rPr>
        <w:t>(см.тема «Мази»)</w:t>
      </w:r>
    </w:p>
    <w:p w:rsidR="002F0917" w:rsidRDefault="002F0917" w:rsidP="002F0917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917">
        <w:rPr>
          <w:rFonts w:ascii="Times New Roman" w:eastAsia="Calibri" w:hAnsi="Times New Roman" w:cs="Times New Roman"/>
          <w:sz w:val="28"/>
          <w:szCs w:val="28"/>
        </w:rPr>
        <w:t>Используют в основном основы природного происхождения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F0917" w:rsidRDefault="002F0917" w:rsidP="002F0917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гидрофобные жировые и углеводородные (ланолин, масла растительные, воск пчелиный, спермацет,вазелин, масло вазелиновое, парафин);</w:t>
      </w:r>
    </w:p>
    <w:p w:rsidR="002F0917" w:rsidRPr="002F0917" w:rsidRDefault="002F0917" w:rsidP="002F0917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гидрофильные гели высокомолекулярных углеводородов и белков (трагакант, агар, желатин, крахмал, мед, глицерин) или другие указанные в ФС или НД.</w:t>
      </w:r>
    </w:p>
    <w:p w:rsidR="004F5FB6" w:rsidRPr="00AE25D0" w:rsidRDefault="004F5FB6" w:rsidP="00AE25D0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5D0">
        <w:rPr>
          <w:rFonts w:ascii="Times New Roman" w:eastAsia="Calibri" w:hAnsi="Times New Roman" w:cs="Times New Roman"/>
          <w:sz w:val="28"/>
          <w:szCs w:val="28"/>
        </w:rPr>
        <w:t>В качестве основ</w:t>
      </w:r>
      <w:r w:rsidR="002F0917">
        <w:rPr>
          <w:rFonts w:ascii="Times New Roman" w:eastAsia="Calibri" w:hAnsi="Times New Roman" w:cs="Times New Roman"/>
          <w:sz w:val="28"/>
          <w:szCs w:val="28"/>
        </w:rPr>
        <w:t xml:space="preserve"> для мазей используют обычно</w:t>
      </w:r>
      <w:r w:rsidRPr="00AE25D0">
        <w:rPr>
          <w:rFonts w:ascii="Times New Roman" w:eastAsia="Calibri" w:hAnsi="Times New Roman" w:cs="Times New Roman"/>
          <w:sz w:val="28"/>
          <w:szCs w:val="28"/>
        </w:rPr>
        <w:t xml:space="preserve"> вазелин и ланолин, а для глазных мазей – абсорбционную основу вазелина и ланолина безводного в соотношении </w:t>
      </w:r>
      <w:r w:rsidRPr="00AE25D0">
        <w:rPr>
          <w:rFonts w:ascii="Times New Roman" w:eastAsia="Calibri" w:hAnsi="Times New Roman" w:cs="Times New Roman"/>
          <w:sz w:val="28"/>
          <w:szCs w:val="28"/>
        </w:rPr>
        <w:lastRenderedPageBreak/>
        <w:t>9:1. Для изготовления масел применяют масла: вазелиновое, персиковое, абрикосовое, миндальное, сливовое, оливковое, подсолнечное и др. Для мази определенного состава основа должна быть указана в частном нормативном документе.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Из несильнодействующих субстанций и тинктур изготавливают 10 % мази, из сильнодействующих – 5 %.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В соответствии с НД изготавливают мази иной концентрации, например:</w:t>
      </w:r>
    </w:p>
    <w:p w:rsidR="004F5FB6" w:rsidRPr="00A81812" w:rsidRDefault="004F5FB6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0,5 % мазь и масло хлорэтона;</w:t>
      </w:r>
    </w:p>
    <w:p w:rsidR="004F5FB6" w:rsidRPr="00A81812" w:rsidRDefault="004F5FB6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1% мазь из цинарбиса (сульфид ртути красный), графита, гепара (известковая серная печень по Ганеману), сульфура меркурис биодатуса (ртути дийодид);</w:t>
      </w:r>
    </w:p>
    <w:p w:rsidR="004F5FB6" w:rsidRPr="00A81812" w:rsidRDefault="004F5FB6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2 % мазь кислот бензойной, карболовой;</w:t>
      </w:r>
    </w:p>
    <w:p w:rsidR="004F5FB6" w:rsidRPr="00A81812" w:rsidRDefault="004F5FB6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3 % мазь и масло аписа (пчелы медоносной), кислоты салициловой, мазь и масло кантариса (шпанской мухи), кротон (кротон тиглиум);</w:t>
      </w:r>
    </w:p>
    <w:p w:rsidR="004F5FB6" w:rsidRPr="00A81812" w:rsidRDefault="004F5FB6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5% мазь и масло аконита (борец ядовитый), спонгии (губки туалетной);</w:t>
      </w:r>
    </w:p>
    <w:p w:rsidR="004F5FB6" w:rsidRPr="00A81812" w:rsidRDefault="004F5FB6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10% мазь кислоты азотной (из </w:t>
      </w:r>
      <w:r w:rsidRPr="00A8181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8181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), аскорбиновой (из </w:t>
      </w:r>
      <w:r w:rsidRPr="00A8181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8181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), мазь и масло цимицифуги, сульфур сублиматум, мазь и масло брионии (преступень белый), мазь фитолякка (лаконос американский), меркурис карозивуса (ртути дихлорид) (из </w:t>
      </w:r>
      <w:r w:rsidRPr="00A8181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8181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), ацидум арсеникозум (из </w:t>
      </w:r>
      <w:r w:rsidRPr="00A8181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8181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8181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F0917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Концентрация ядовитых и сильнодействующих веществ в гомеопатических мазях должна быть обязательно указана. 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Изготавливают мази гомеопатические по правилам, изложенным в общей статье ГФ «Мази». Мази гомеопатические глазные должны быть стерильными. При изготовлении мазей, содержащих настойки на вазелиновой основе в концентрации более 5 % от массы мази, их предварительно концентрируют, упаривая до половины взятой массы, или добавляют 5 – 10 % безводного ланолина.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В гомеопатические мази обычно не вводят стабилизаторы, антиоксиданты и консерванты. Последние добавляют, только когда в качестве основы используют гели, содержащие воду, или эмульсионные основы типа масло/вода.</w:t>
      </w:r>
    </w:p>
    <w:p w:rsidR="004F5FB6" w:rsidRPr="002F0917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917">
        <w:rPr>
          <w:rFonts w:ascii="Times New Roman" w:eastAsia="Calibri" w:hAnsi="Times New Roman" w:cs="Times New Roman"/>
          <w:i/>
          <w:sz w:val="28"/>
          <w:szCs w:val="28"/>
        </w:rPr>
        <w:t>Жидкий оподельдок</w:t>
      </w:r>
    </w:p>
    <w:p w:rsidR="002F0917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Мягкая лекарственная форма для наружного применения. Гомогенная дисперсная система, представляющая собой смесь гомеопатических лекарственных средств с основой, как правило, в соотношении по массе 1:10. </w:t>
      </w:r>
    </w:p>
    <w:p w:rsidR="004F5FB6" w:rsidRPr="00A81812" w:rsidRDefault="004F5FB6" w:rsidP="002F0917">
      <w:pPr>
        <w:spacing w:after="0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917">
        <w:rPr>
          <w:rFonts w:ascii="Times New Roman" w:eastAsia="Calibri" w:hAnsi="Times New Roman" w:cs="Times New Roman"/>
          <w:i/>
          <w:sz w:val="28"/>
          <w:szCs w:val="28"/>
        </w:rPr>
        <w:t>Спиртовый линимент</w:t>
      </w:r>
      <w:r w:rsidRPr="00A818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FB6" w:rsidRPr="00A81812" w:rsidRDefault="004F5FB6" w:rsidP="002F0917">
      <w:pPr>
        <w:spacing w:after="0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Основа линимента:</w:t>
      </w:r>
    </w:p>
    <w:p w:rsidR="004F5FB6" w:rsidRPr="00A81812" w:rsidRDefault="004F5FB6" w:rsidP="004F5FB6">
      <w:pPr>
        <w:numPr>
          <w:ilvl w:val="0"/>
          <w:numId w:val="14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мыльный спирт (раствор калийного (зеленого) мыла в спирте этиловом) – 2 части;</w:t>
      </w:r>
    </w:p>
    <w:p w:rsidR="004F5FB6" w:rsidRPr="00A81812" w:rsidRDefault="004F5FB6" w:rsidP="004F5FB6">
      <w:pPr>
        <w:numPr>
          <w:ilvl w:val="0"/>
          <w:numId w:val="14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вода очищенная – 1 часть;</w:t>
      </w:r>
    </w:p>
    <w:p w:rsidR="004F5FB6" w:rsidRPr="00A81812" w:rsidRDefault="004F5FB6" w:rsidP="004F5FB6">
      <w:pPr>
        <w:numPr>
          <w:ilvl w:val="0"/>
          <w:numId w:val="14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этанол 96 % (по объему) – 1 часть.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Состав спирта мыльного:</w:t>
      </w:r>
    </w:p>
    <w:p w:rsidR="004F5FB6" w:rsidRPr="00A81812" w:rsidRDefault="004F5FB6" w:rsidP="004F5FB6">
      <w:pPr>
        <w:numPr>
          <w:ilvl w:val="0"/>
          <w:numId w:val="15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Мыла калийного (зеленого) – 63,953 г;</w:t>
      </w:r>
    </w:p>
    <w:p w:rsidR="004F5FB6" w:rsidRPr="00A81812" w:rsidRDefault="004F5FB6" w:rsidP="004F5FB6">
      <w:pPr>
        <w:numPr>
          <w:ilvl w:val="0"/>
          <w:numId w:val="15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Спирта этилового 90 % (по объему) – 27,836 г;</w:t>
      </w:r>
    </w:p>
    <w:p w:rsidR="004F5FB6" w:rsidRPr="00A81812" w:rsidRDefault="004F5FB6" w:rsidP="004F5FB6">
      <w:pPr>
        <w:numPr>
          <w:ilvl w:val="0"/>
          <w:numId w:val="15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Воды очищенной – 8,115 г;</w:t>
      </w:r>
    </w:p>
    <w:p w:rsidR="004F5FB6" w:rsidRPr="00A81812" w:rsidRDefault="004F5FB6" w:rsidP="004F5FB6">
      <w:pPr>
        <w:numPr>
          <w:ilvl w:val="0"/>
          <w:numId w:val="15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Масла эфирного лавандового – 0,096 г.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Изготавливают оподельдок следующим образом. Основу смешивают с тинктурами матричными в соответствующей концентрации (3, 5, 10 %). В состав оподельдока могут быть введены смеси настоек, эфирные масла и другие лекарственные средства. Летучие и пахучие лекарственные средства добавляют в последнюю очередь. Концентрации оподельдоков обычно соответствуют концентрации соответствующих масел и мазей (например, 3 % оподельдок брионии).</w:t>
      </w:r>
    </w:p>
    <w:p w:rsidR="004F5FB6" w:rsidRPr="002F0917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917">
        <w:rPr>
          <w:rFonts w:ascii="Times New Roman" w:eastAsia="Calibri" w:hAnsi="Times New Roman" w:cs="Times New Roman"/>
          <w:i/>
          <w:sz w:val="28"/>
          <w:szCs w:val="28"/>
        </w:rPr>
        <w:t>Спирты для наружного применения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Изготавливают, смешивая настойки с 62 % спиртом. Например: апис 3 % (пчела медоносная), арника 10% (арника горная), спонгия 10 % (губка туалетная), аконит 10 % (борец ядовитый), кантарис 5 % (шпанская муха).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Примером часто изготовляемых спиртов служит спирт Лори, в со</w:t>
      </w:r>
      <w:r w:rsidR="002F0917">
        <w:rPr>
          <w:rFonts w:ascii="Times New Roman" w:eastAsia="Calibri" w:hAnsi="Times New Roman" w:cs="Times New Roman"/>
          <w:sz w:val="28"/>
          <w:szCs w:val="28"/>
        </w:rPr>
        <w:t>с</w:t>
      </w:r>
      <w:r w:rsidRPr="00A81812">
        <w:rPr>
          <w:rFonts w:ascii="Times New Roman" w:eastAsia="Calibri" w:hAnsi="Times New Roman" w:cs="Times New Roman"/>
          <w:sz w:val="28"/>
          <w:szCs w:val="28"/>
        </w:rPr>
        <w:t>таве которого входят, г: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Рус Ө               10,0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Бриония Ө       20,0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Белладонна Ө  30,0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Капсикум Ө     20,0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lastRenderedPageBreak/>
        <w:t>Ледум Ө           30,0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Спирт изготавливают в разведении </w:t>
      </w:r>
      <w:r w:rsidRPr="00A8181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8181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               </w:t>
      </w:r>
    </w:p>
    <w:p w:rsidR="004F5FB6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Объединив в одном флаконе все компоненты прописи, взятые по массе, получают 100 % спирт Лори. Разведение </w:t>
      </w:r>
      <w:r w:rsidRPr="00A8181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8181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A81812">
        <w:rPr>
          <w:rFonts w:ascii="Times New Roman" w:eastAsia="Calibri" w:hAnsi="Times New Roman" w:cs="Times New Roman"/>
          <w:sz w:val="28"/>
          <w:szCs w:val="28"/>
        </w:rPr>
        <w:t>получают  из предыдущего 100 % спирта в соотношении 1:10, т.е. 1 часть исходного спирта и 9 частей 70 % этанола. Встряхивают не менее 10 раз (потенцирование) и т.д. (см. выше).</w:t>
      </w:r>
    </w:p>
    <w:p w:rsidR="00400EE5" w:rsidRPr="00A81812" w:rsidRDefault="00400EE5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Обязательные виды контроля – приказ №751 н раздел «Контроль качества».</w:t>
      </w:r>
    </w:p>
    <w:p w:rsidR="004F5FB6" w:rsidRDefault="004F5FB6" w:rsidP="004F5F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091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Суппозитории и гранулы.</w:t>
      </w:r>
    </w:p>
    <w:p w:rsidR="002F0917" w:rsidRPr="002F0917" w:rsidRDefault="002F0917" w:rsidP="002F0917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F5FB6" w:rsidRPr="002F0917" w:rsidRDefault="002F0917" w:rsidP="002F0917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917">
        <w:rPr>
          <w:rFonts w:ascii="Times New Roman" w:eastAsia="Calibri" w:hAnsi="Times New Roman" w:cs="Times New Roman"/>
          <w:b/>
          <w:sz w:val="28"/>
          <w:szCs w:val="28"/>
        </w:rPr>
        <w:t>Суппозитории</w:t>
      </w:r>
    </w:p>
    <w:p w:rsidR="002F0917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Это твердые при комнатной температуре и расплавляющиеся при температуре тела, дозированные лекарственные формы, применяемые для введения в полости тела. Они состоят из гомеопатических лекарственных средств, равномерно распределенных в основе. 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В НД на суппозитории определенного состава должны быть указаны: состав разведения взятых для изготовления гомеопатических лекарственных средств и их концентрация, общая масса одного суппозитория. Масса одного суппозитория для детей должна составлять около 1 г, для взрослых – около 2 г.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Все применяемые основы должны быть разрешены для применения в гомеопатии. В качестве основ для изготовления суппозиториев рекомендованы масло какао, гидрогенизированные жиры (твердый жир типов А и В, основа «Суппорин - М»). Суппозитории для детей изготавливают, как правило, на масле какао и твердом жире типа А. Допускается добавление ланолина безводного, декстрина, целлюлозы, меда. В суппозитории гомеопатические не водят стабилизаторы.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Суппозитории изготавливают по общим правилам технологии, изложенным в общей статье «Суппозитории» ГФ. Они могут быть изготовлены способами ручного формования, разлива в формы или прессования. В гомеопатических апт</w:t>
      </w:r>
      <w:r w:rsidR="002F0917">
        <w:rPr>
          <w:rFonts w:ascii="Times New Roman" w:eastAsia="Calibri" w:hAnsi="Times New Roman" w:cs="Times New Roman"/>
          <w:sz w:val="28"/>
          <w:szCs w:val="28"/>
        </w:rPr>
        <w:t>е</w:t>
      </w:r>
      <w:r w:rsidRPr="00A81812">
        <w:rPr>
          <w:rFonts w:ascii="Times New Roman" w:eastAsia="Calibri" w:hAnsi="Times New Roman" w:cs="Times New Roman"/>
          <w:sz w:val="28"/>
          <w:szCs w:val="28"/>
        </w:rPr>
        <w:t>ках пока преобладает способ ручного формования. Тинктуры (настойки матричные), растворы, тритурации в соответствующих разведениях (потенциях) вводят в суппозиторные массы в соотношении 1:10. При дозировании лекарственного средства используют стандартный или эмпирический каплемер, откалиброванный для данного лекарственного средства (по массе).</w:t>
      </w:r>
    </w:p>
    <w:p w:rsidR="004F5FB6" w:rsidRPr="002F0917" w:rsidRDefault="004F5FB6" w:rsidP="002F0917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lastRenderedPageBreak/>
        <w:t>Лекарственные средства непосредственно смешивают с суппозиторной основой после предварительного растирания с небольшим количеством расплавленной основы или воды очищенной, этанольно-глицерино-водного раствора, масла растительного, вазелинового или другой подходящей для диспергирования жидкостью. Настойки гомеоп</w:t>
      </w:r>
      <w:r w:rsidR="002F0917">
        <w:rPr>
          <w:rFonts w:ascii="Times New Roman" w:eastAsia="Calibri" w:hAnsi="Times New Roman" w:cs="Times New Roman"/>
          <w:sz w:val="28"/>
          <w:szCs w:val="28"/>
        </w:rPr>
        <w:t>атические и другие жидкие</w:t>
      </w: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 лекарственные средства, не содержащие летучих действующих веществ, перед введением в основу концентрируют упариванием (например, в вакуум-выпарном аппарате). Термолабильные лекарственные вещества (в случае изгот</w:t>
      </w:r>
      <w:r w:rsidR="002F0917">
        <w:rPr>
          <w:rFonts w:ascii="Times New Roman" w:eastAsia="Calibri" w:hAnsi="Times New Roman" w:cs="Times New Roman"/>
          <w:sz w:val="28"/>
          <w:szCs w:val="28"/>
        </w:rPr>
        <w:t>о</w:t>
      </w:r>
      <w:r w:rsidRPr="00A81812">
        <w:rPr>
          <w:rFonts w:ascii="Times New Roman" w:eastAsia="Calibri" w:hAnsi="Times New Roman" w:cs="Times New Roman"/>
          <w:sz w:val="28"/>
          <w:szCs w:val="28"/>
        </w:rPr>
        <w:t>вления способом разлива в формы) добавляют к основе непосредственно перед формированием суппозиториев.</w:t>
      </w:r>
    </w:p>
    <w:p w:rsidR="004F5FB6" w:rsidRPr="002F0917" w:rsidRDefault="004F5FB6" w:rsidP="002F0917">
      <w:pPr>
        <w:spacing w:after="0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917">
        <w:rPr>
          <w:rFonts w:ascii="Times New Roman" w:eastAsia="Calibri" w:hAnsi="Times New Roman" w:cs="Times New Roman"/>
          <w:b/>
          <w:sz w:val="28"/>
          <w:szCs w:val="28"/>
        </w:rPr>
        <w:t>Гранулы гомеопатические</w:t>
      </w:r>
    </w:p>
    <w:p w:rsidR="004F5FB6" w:rsidRPr="00A81812" w:rsidRDefault="004F5FB6" w:rsidP="002F0917">
      <w:pPr>
        <w:spacing w:after="0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Твердая, дозированная лекарственная форма для внутреннего применения. Гомеопатические тритурации и гранулы обычно назначают сублингвально, что обеспечивает быстрое всасывание через слизистую оболочку полости рта.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Изготавливают нанесением жидких гомеопатических разведений лекарственных веществ или их смесей на исходные гранулы. Гранулы изготавливают из чистого тростникового сахара высшего качества (плотностью 1,52 - 1,59 г/см</w:t>
      </w:r>
      <w:r w:rsidRPr="00A8181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81812">
        <w:rPr>
          <w:rFonts w:ascii="Times New Roman" w:eastAsia="Calibri" w:hAnsi="Times New Roman" w:cs="Times New Roman"/>
          <w:sz w:val="28"/>
          <w:szCs w:val="28"/>
        </w:rPr>
        <w:t>). Они должны полностью растворятся в воде очищенной без остатка.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Количество лекарственного вещества, нанесенного на исходные гранулы сахара, существенно не изменяет их размер и другие физико-механические показатели, поэтому размер, средний диаметр гомеопатических гранул оценивают по исходным гранулам. Выпускают гранулы 10-ти номеров. Наибольшее распространение в гомеопатии имеют гранулы № 5 и 6 (масса гранул - 0,022 и 0,04 г, средний диаметр - 3 и 3,7 мм, среднее число гранул в 1 г - 45 и 35 шт, соответственно). Номер гранул классифицируют по количеству гранул в 1 г или с помощью сит. Количество гранул подсчитывают в двух параллельных пробах массы навески, взвешенной с точностью до 0,01 г. </w:t>
      </w:r>
    </w:p>
    <w:p w:rsidR="004F5FB6" w:rsidRPr="002F0917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917">
        <w:rPr>
          <w:rFonts w:ascii="Times New Roman" w:eastAsia="Calibri" w:hAnsi="Times New Roman" w:cs="Times New Roman"/>
          <w:sz w:val="28"/>
          <w:szCs w:val="28"/>
          <w:u w:val="single"/>
        </w:rPr>
        <w:t>Гранулы изготавливают двумя способами.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Способ 1. На исходные гранулы наносят водно-этанольное гомеопатическое разведение лекарственного вещества. Способ основан на абсорбции лекарственного вещества гранулами. Насыщение начинают с третьего разведения и более, используя только этанол (62% по массе, или 70% по объему - он обеспечивает раскрытие пор сахарных крупинок и насыщение их лекарственным веществом). Объем смесителя должен быть в 1,5 - 2 раза больше массы загружаемых исходных гранул.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lastRenderedPageBreak/>
        <w:t>На 100 г исходных гранул сахара берут 1 г раствора лекарственного вещества (жидкого препарата, тритурации или их смеси) соответствующего разведения, при этом содержание этанола в разведении должно быть не менее 60 % (по массе) или 68 % (по объему). Гранулы предварительно смачивают этанолом той же концентрации (1 г на 100 г исходных гранул), перемешивают в механических смесителях без движущихся рабочих органов (барабанные смесителя, "пьяные бочки" и т.п.) или вручную, в стеклянных плотно закрывающихся смесителях (сосудах) в течении 3-4 мин; при ручном способе - в течении 10 мин. Изготовленные гранулы высушивают на воздухе при комнатной температуре до постоянной массы (в соответствии с технологическим регламентом).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Нельзя наносить на гранулы лекарственные средства из летучих и пахучих веществ, а так же из кислот в разведениях ниже С</w:t>
      </w:r>
      <w:r w:rsidRPr="00A8181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818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Способ 2. На исходные гранулы многократно и равномерно наслаивают гомеопатическое разведение лекарственного вещества в сиропе сахарном (концентрация 64%) с подсушиванием между операциями. Способ используют для нанесения водных жидких разведений (растворов, извлечений и др.)., тритураций, смесей препаратов с низкими десятичными разведениями и в случаях, когда способ 1 с применением этанола нежелателен.</w:t>
      </w:r>
    </w:p>
    <w:p w:rsidR="004F5FB6" w:rsidRPr="00A81812" w:rsidRDefault="004F5FB6" w:rsidP="004F5FB6">
      <w:pPr>
        <w:spacing w:after="100" w:afterAutospacing="1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Способы изготовления гранул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850"/>
        <w:gridCol w:w="2001"/>
        <w:gridCol w:w="1740"/>
        <w:gridCol w:w="1975"/>
      </w:tblGrid>
      <w:tr w:rsidR="004F5FB6" w:rsidRPr="00A81812" w:rsidTr="00751342"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Разновидность способа 2</w:t>
            </w:r>
          </w:p>
        </w:tc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Выписанная масса гранул, г</w:t>
            </w:r>
          </w:p>
        </w:tc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Наслаиваемый состав, г</w:t>
            </w:r>
          </w:p>
        </w:tc>
        <w:tc>
          <w:tcPr>
            <w:tcW w:w="2028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Масса сиропа сахарного, г</w:t>
            </w:r>
          </w:p>
        </w:tc>
        <w:tc>
          <w:tcPr>
            <w:tcW w:w="2028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Масса используемых гранул, г</w:t>
            </w:r>
          </w:p>
        </w:tc>
      </w:tr>
      <w:tr w:rsidR="004F5FB6" w:rsidRPr="00A81812" w:rsidTr="00751342"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1,0 (жидкого разведения)</w:t>
            </w:r>
          </w:p>
        </w:tc>
        <w:tc>
          <w:tcPr>
            <w:tcW w:w="2028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028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100,0 - Х</w:t>
            </w:r>
          </w:p>
        </w:tc>
      </w:tr>
      <w:tr w:rsidR="004F5FB6" w:rsidRPr="00A81812" w:rsidTr="00751342"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1,0 (тритурации)</w:t>
            </w:r>
          </w:p>
        </w:tc>
        <w:tc>
          <w:tcPr>
            <w:tcW w:w="2028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28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100,0 - Х - </w:t>
            </w:r>
            <w:r w:rsidRPr="00A818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4F5FB6" w:rsidRPr="00A81812" w:rsidTr="00751342"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027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1,0 (смеси)</w:t>
            </w:r>
          </w:p>
        </w:tc>
        <w:tc>
          <w:tcPr>
            <w:tcW w:w="2028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028" w:type="dxa"/>
          </w:tcPr>
          <w:p w:rsidR="004F5FB6" w:rsidRPr="00A81812" w:rsidRDefault="004F5FB6" w:rsidP="0075134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100,0 - Х - </w:t>
            </w:r>
            <w:r w:rsidRPr="00A818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</w:tbl>
    <w:p w:rsidR="004F5FB6" w:rsidRPr="00A81812" w:rsidRDefault="004F5FB6" w:rsidP="004F5FB6">
      <w:pPr>
        <w:spacing w:after="100" w:afterAutospacing="1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Гомеопатические разведения лекарственных веществ в сиропе сахарном наслаивают на исходные гранулы в дражировочных котлах с регулируемым подогревом. Исходные гранулы помещают в дражировочный котел, предварительно подогретый до 37 - 42</w:t>
      </w:r>
      <w:r w:rsidRPr="00A8181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о </w:t>
      </w:r>
      <w:r w:rsidRPr="00A8181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, и медленно вращают, пока вся масса гранул нагреется до той же температуры. Гомеопатические разведения лекарственных веществ в сахарном сиропе вливают в дражировочный котел постепенно, небольшими равными порциями, через равные промежутки времени. </w:t>
      </w:r>
      <w:r w:rsidRPr="00A81812">
        <w:rPr>
          <w:rFonts w:ascii="Times New Roman" w:eastAsia="Calibri" w:hAnsi="Times New Roman" w:cs="Times New Roman"/>
          <w:sz w:val="28"/>
          <w:szCs w:val="28"/>
        </w:rPr>
        <w:lastRenderedPageBreak/>
        <w:t>По окончании наслаивания нагрев дражировочного котла прекращают, вращение его продолжают для высушивания гранул до постоянной массы (в соответствии с технологическим регламентом).</w:t>
      </w:r>
    </w:p>
    <w:p w:rsidR="004F5FB6" w:rsidRPr="00A81812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Обозначая разведения на гранулах равно жидкому разведению действующего вещества, взятого для нанесения.</w:t>
      </w:r>
    </w:p>
    <w:p w:rsidR="004F5FB6" w:rsidRDefault="004F5FB6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Санитарный режим (особенно при изготовлении гранул с использованием сиропа сахарного) должен неукоснительно соблюдаться в соответствии с действующей Инструкцией по санитарному режиму аптек.</w:t>
      </w:r>
    </w:p>
    <w:p w:rsidR="00400EE5" w:rsidRPr="00A81812" w:rsidRDefault="00400EE5" w:rsidP="00400EE5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Обязательные виды контроля – приказ №751 н раздел «Контроль качества».</w:t>
      </w:r>
    </w:p>
    <w:p w:rsidR="00400EE5" w:rsidRPr="00A81812" w:rsidRDefault="00400EE5" w:rsidP="004F5FB6">
      <w:pPr>
        <w:spacing w:after="100" w:afterAutospacing="1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F5FB6" w:rsidRPr="00A81812" w:rsidRDefault="004F5FB6" w:rsidP="004F5FB6">
      <w:pPr>
        <w:tabs>
          <w:tab w:val="left" w:pos="0"/>
        </w:tabs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812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для закрепления:</w:t>
      </w:r>
    </w:p>
    <w:p w:rsidR="004F5FB6" w:rsidRDefault="004F5FB6" w:rsidP="004F5FB6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Каковы особенности изготовления мазей гомеопатических и оподельдоков?</w:t>
      </w:r>
    </w:p>
    <w:p w:rsidR="004F5FB6" w:rsidRPr="00A81812" w:rsidRDefault="004F5FB6" w:rsidP="004F5FB6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Как контролируют качество гомеопатических мазей и оподельдоков?</w:t>
      </w:r>
    </w:p>
    <w:p w:rsidR="004F5FB6" w:rsidRPr="00A81812" w:rsidRDefault="004F5FB6" w:rsidP="004F5FB6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2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Каковы особенности изготовления гомеопатических суппозиториев?</w:t>
      </w:r>
    </w:p>
    <w:p w:rsidR="004F5FB6" w:rsidRDefault="004F5FB6" w:rsidP="004F5FB6">
      <w:pPr>
        <w:tabs>
          <w:tab w:val="left" w:pos="0"/>
        </w:tabs>
        <w:spacing w:after="0"/>
        <w:ind w:left="-539"/>
        <w:rPr>
          <w:rFonts w:ascii="Times New Roman" w:eastAsia="Calibri" w:hAnsi="Times New Roman" w:cs="Times New Roman"/>
          <w:sz w:val="28"/>
          <w:szCs w:val="28"/>
        </w:rPr>
      </w:pPr>
      <w:r w:rsidRPr="002224D6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Сравните различные способы изготовления гомеопатических гранул.</w:t>
      </w:r>
    </w:p>
    <w:p w:rsidR="004F5FB6" w:rsidRPr="002224D6" w:rsidRDefault="004F5FB6" w:rsidP="004F5FB6">
      <w:pPr>
        <w:tabs>
          <w:tab w:val="left" w:pos="0"/>
        </w:tabs>
        <w:spacing w:after="0"/>
        <w:ind w:left="-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Каковы особенности контроля качества гомеопатических гранул?</w:t>
      </w:r>
    </w:p>
    <w:p w:rsidR="004F5FB6" w:rsidRPr="00A81812" w:rsidRDefault="004F5FB6" w:rsidP="004F5FB6">
      <w:pPr>
        <w:tabs>
          <w:tab w:val="left" w:pos="0"/>
        </w:tabs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  <w:r w:rsidRPr="00A81812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</w:t>
      </w:r>
    </w:p>
    <w:p w:rsidR="004F5FB6" w:rsidRDefault="004F5FB6" w:rsidP="004F5FB6">
      <w:pPr>
        <w:tabs>
          <w:tab w:val="left" w:pos="0"/>
        </w:tabs>
        <w:ind w:left="-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6EC4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F5FB6" w:rsidRPr="005E6EC4" w:rsidRDefault="004F5FB6" w:rsidP="004F5FB6">
      <w:pPr>
        <w:pStyle w:val="a8"/>
        <w:spacing w:before="97" w:beforeAutospacing="0"/>
        <w:ind w:left="-54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Гроссман. - М. : ГЭОТАР-Медиа, 2011. - 320 с.</w:t>
      </w:r>
      <w:r>
        <w:rPr>
          <w:sz w:val="28"/>
          <w:szCs w:val="28"/>
        </w:rPr>
        <w:t>137-152</w:t>
      </w:r>
      <w:r w:rsidRPr="008E00E2">
        <w:rPr>
          <w:sz w:val="28"/>
          <w:szCs w:val="28"/>
        </w:rPr>
        <w:t xml:space="preserve"> : ил. </w:t>
      </w:r>
    </w:p>
    <w:p w:rsidR="004F5FB6" w:rsidRDefault="004F5FB6" w:rsidP="004F5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6EC4">
        <w:rPr>
          <w:rFonts w:ascii="Times New Roman" w:eastAsia="Calibri" w:hAnsi="Times New Roman" w:cs="Times New Roman"/>
          <w:bCs/>
          <w:sz w:val="28"/>
          <w:szCs w:val="28"/>
        </w:rPr>
        <w:t>Дополнительная:</w:t>
      </w:r>
    </w:p>
    <w:p w:rsidR="004F5FB6" w:rsidRDefault="004F5FB6" w:rsidP="004F5FB6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0F0CD8">
        <w:rPr>
          <w:rFonts w:ascii="Times New Roman" w:eastAsia="Calibri" w:hAnsi="Times New Roman" w:cs="Times New Roman"/>
          <w:sz w:val="28"/>
          <w:szCs w:val="28"/>
        </w:rPr>
        <w:t xml:space="preserve">Технология лекарственных форм : учебник / И. И. Краснюк, </w:t>
      </w:r>
    </w:p>
    <w:p w:rsidR="004F5FB6" w:rsidRDefault="004F5FB6" w:rsidP="004F5FB6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F0CD8">
        <w:rPr>
          <w:rFonts w:ascii="Times New Roman" w:eastAsia="Calibri" w:hAnsi="Times New Roman" w:cs="Times New Roman"/>
          <w:sz w:val="28"/>
          <w:szCs w:val="28"/>
        </w:rPr>
        <w:t xml:space="preserve">Г. 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F0CD8">
        <w:rPr>
          <w:rFonts w:ascii="Times New Roman" w:eastAsia="Calibri" w:hAnsi="Times New Roman" w:cs="Times New Roman"/>
          <w:sz w:val="28"/>
          <w:szCs w:val="28"/>
        </w:rPr>
        <w:t xml:space="preserve">Михайлова, Т. В. Денисова, В. И. Скляренко ; под ред. </w:t>
      </w:r>
    </w:p>
    <w:p w:rsidR="004F5FB6" w:rsidRPr="00A978E3" w:rsidRDefault="004F5FB6" w:rsidP="004F5FB6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F0CD8">
        <w:rPr>
          <w:rFonts w:ascii="Times New Roman" w:eastAsia="Calibri" w:hAnsi="Times New Roman" w:cs="Times New Roman"/>
          <w:sz w:val="28"/>
          <w:szCs w:val="28"/>
        </w:rPr>
        <w:t>И. И. Краснюка, Г. В. Михайлов</w:t>
      </w:r>
      <w:r>
        <w:rPr>
          <w:rFonts w:ascii="Times New Roman" w:eastAsia="Calibri" w:hAnsi="Times New Roman" w:cs="Times New Roman"/>
          <w:sz w:val="28"/>
          <w:szCs w:val="28"/>
        </w:rPr>
        <w:t>ой. - М. : ГЭОТАР-Медиа, 2011.</w:t>
      </w:r>
    </w:p>
    <w:p w:rsidR="004F5FB6" w:rsidRPr="00274F64" w:rsidRDefault="004F5FB6" w:rsidP="004F5FB6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F5FB6" w:rsidRDefault="004F5FB6" w:rsidP="004F5FB6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хнология лекарственных форм: </w:t>
      </w:r>
    </w:p>
    <w:p w:rsidR="004F5FB6" w:rsidRDefault="004F5FB6" w:rsidP="004F5FB6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eastAsia="Calibri" w:hAnsi="Times New Roman" w:cs="Times New Roman"/>
          <w:sz w:val="28"/>
          <w:szCs w:val="28"/>
        </w:rPr>
        <w:t>/под ред. И.И. Краснюка, Г.В. Михайловой.</w:t>
      </w:r>
    </w:p>
    <w:p w:rsidR="004F5FB6" w:rsidRDefault="004F5FB6" w:rsidP="004F5FB6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95E95">
        <w:rPr>
          <w:rFonts w:ascii="Times New Roman" w:eastAsia="Calibri" w:hAnsi="Times New Roman" w:cs="Times New Roman"/>
          <w:sz w:val="28"/>
          <w:szCs w:val="28"/>
        </w:rPr>
        <w:t>-2</w:t>
      </w:r>
      <w:r>
        <w:rPr>
          <w:rFonts w:ascii="Times New Roman" w:eastAsia="Calibri" w:hAnsi="Times New Roman" w:cs="Times New Roman"/>
          <w:sz w:val="28"/>
          <w:szCs w:val="28"/>
        </w:rPr>
        <w:t xml:space="preserve">-е изд. - М:  Академия, 2006, с.502-508, 531 – 532, 541 - 545.   </w:t>
      </w:r>
    </w:p>
    <w:p w:rsidR="004F5FB6" w:rsidRPr="00157309" w:rsidRDefault="004F5FB6" w:rsidP="004F5FB6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FB6" w:rsidRPr="005E6EC4" w:rsidRDefault="004F5FB6" w:rsidP="004F5FB6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EC4">
        <w:rPr>
          <w:rFonts w:ascii="Times New Roman" w:eastAsia="Calibri" w:hAnsi="Times New Roman" w:cs="Times New Roman"/>
          <w:sz w:val="28"/>
          <w:szCs w:val="28"/>
        </w:rPr>
        <w:t>Электронные ресурсы:</w:t>
      </w:r>
    </w:p>
    <w:p w:rsidR="004F5FB6" w:rsidRPr="005E6EC4" w:rsidRDefault="004F5FB6" w:rsidP="004F5FB6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EC4">
        <w:rPr>
          <w:rFonts w:ascii="Times New Roman" w:eastAsia="Calibri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4F5FB6" w:rsidRPr="005E6EC4" w:rsidRDefault="004F5FB6" w:rsidP="004F5FB6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EC4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URL</w:t>
      </w:r>
      <w:r w:rsidRPr="005E6EC4">
        <w:rPr>
          <w:rFonts w:ascii="Times New Roman" w:eastAsia="Calibri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4F5FB6" w:rsidRPr="005E6EC4" w:rsidRDefault="004F5FB6" w:rsidP="004F5FB6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EC4">
        <w:rPr>
          <w:rFonts w:ascii="Times New Roman" w:eastAsia="Calibri" w:hAnsi="Times New Roman" w:cs="Times New Roman"/>
          <w:sz w:val="28"/>
          <w:szCs w:val="28"/>
        </w:rPr>
        <w:t xml:space="preserve">2.  Фармацевтические рефератики  - Фармацевтический образовательный портал [Электронный ресурс]. </w:t>
      </w:r>
      <w:r w:rsidRPr="005E6EC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eastAsia="Calibri" w:hAnsi="Times New Roman" w:cs="Times New Roman"/>
          <w:sz w:val="28"/>
          <w:szCs w:val="28"/>
        </w:rPr>
        <w:t xml:space="preserve">:  http://pharm-eferatiki.ru/pharmtechnology/   </w:t>
      </w:r>
    </w:p>
    <w:p w:rsidR="004F5FB6" w:rsidRPr="00DF4804" w:rsidRDefault="004F5FB6" w:rsidP="004F5FB6">
      <w:pPr>
        <w:tabs>
          <w:tab w:val="num" w:pos="360"/>
        </w:tabs>
        <w:ind w:left="-540"/>
        <w:rPr>
          <w:rFonts w:ascii="Calibri" w:eastAsia="Calibri" w:hAnsi="Calibri" w:cs="Times New Roman"/>
          <w:sz w:val="28"/>
          <w:szCs w:val="28"/>
        </w:rPr>
      </w:pPr>
    </w:p>
    <w:p w:rsidR="004F5FB6" w:rsidRPr="00851804" w:rsidRDefault="004F5FB6" w:rsidP="004F5FB6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FB6" w:rsidRPr="00A81812" w:rsidRDefault="004F5FB6" w:rsidP="004F5FB6">
      <w:pPr>
        <w:tabs>
          <w:tab w:val="left" w:pos="0"/>
        </w:tabs>
        <w:ind w:left="-540"/>
        <w:jc w:val="both"/>
        <w:rPr>
          <w:rFonts w:ascii="Calibri" w:eastAsia="Calibri" w:hAnsi="Calibri" w:cs="Times New Roman"/>
        </w:rPr>
      </w:pPr>
    </w:p>
    <w:p w:rsidR="00CD0F5C" w:rsidRPr="00DF4804" w:rsidRDefault="00CD0F5C" w:rsidP="00CD0F5C">
      <w:pPr>
        <w:tabs>
          <w:tab w:val="num" w:pos="360"/>
        </w:tabs>
        <w:rPr>
          <w:sz w:val="28"/>
          <w:szCs w:val="28"/>
        </w:rPr>
      </w:pPr>
    </w:p>
    <w:p w:rsidR="006F5618" w:rsidRPr="00851804" w:rsidRDefault="006F5618" w:rsidP="000E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618" w:rsidRPr="00851804" w:rsidSect="004F5FB6">
      <w:footerReference w:type="default" r:id="rId7"/>
      <w:pgSz w:w="11906" w:h="16838"/>
      <w:pgMar w:top="1134" w:right="850" w:bottom="1134" w:left="1701" w:header="708" w:footer="708" w:gutter="0"/>
      <w:pgNumType w:start="1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B6" w:rsidRDefault="004F5FB6" w:rsidP="004F5FB6">
      <w:pPr>
        <w:spacing w:after="0" w:line="240" w:lineRule="auto"/>
      </w:pPr>
      <w:r>
        <w:separator/>
      </w:r>
    </w:p>
  </w:endnote>
  <w:endnote w:type="continuationSeparator" w:id="0">
    <w:p w:rsidR="004F5FB6" w:rsidRDefault="004F5FB6" w:rsidP="004F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1710"/>
      <w:docPartObj>
        <w:docPartGallery w:val="Page Numbers (Bottom of Page)"/>
        <w:docPartUnique/>
      </w:docPartObj>
    </w:sdtPr>
    <w:sdtEndPr/>
    <w:sdtContent>
      <w:p w:rsidR="004F5FB6" w:rsidRDefault="003D60E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EE5">
          <w:rPr>
            <w:noProof/>
          </w:rPr>
          <w:t>180</w:t>
        </w:r>
        <w:r>
          <w:rPr>
            <w:noProof/>
          </w:rPr>
          <w:fldChar w:fldCharType="end"/>
        </w:r>
      </w:p>
    </w:sdtContent>
  </w:sdt>
  <w:p w:rsidR="004F5FB6" w:rsidRDefault="004F5F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B6" w:rsidRDefault="004F5FB6" w:rsidP="004F5FB6">
      <w:pPr>
        <w:spacing w:after="0" w:line="240" w:lineRule="auto"/>
      </w:pPr>
      <w:r>
        <w:separator/>
      </w:r>
    </w:p>
  </w:footnote>
  <w:footnote w:type="continuationSeparator" w:id="0">
    <w:p w:rsidR="004F5FB6" w:rsidRDefault="004F5FB6" w:rsidP="004F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D6A"/>
    <w:multiLevelType w:val="hybridMultilevel"/>
    <w:tmpl w:val="3B92CC20"/>
    <w:lvl w:ilvl="0" w:tplc="A588E5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0CE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C92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46B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26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2C8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6C7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646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CFD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047"/>
    <w:multiLevelType w:val="hybridMultilevel"/>
    <w:tmpl w:val="2DA2FAD2"/>
    <w:lvl w:ilvl="0" w:tplc="0A664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2D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05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4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00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48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65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2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45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F07E1C"/>
    <w:multiLevelType w:val="hybridMultilevel"/>
    <w:tmpl w:val="72E078FC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5F5C14"/>
    <w:multiLevelType w:val="hybridMultilevel"/>
    <w:tmpl w:val="6218C5A2"/>
    <w:lvl w:ilvl="0" w:tplc="89A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8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E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49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4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8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25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6B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6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F2514A"/>
    <w:multiLevelType w:val="hybridMultilevel"/>
    <w:tmpl w:val="D69CA3B0"/>
    <w:lvl w:ilvl="0" w:tplc="B620981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9C26AC3"/>
    <w:multiLevelType w:val="hybridMultilevel"/>
    <w:tmpl w:val="31388C98"/>
    <w:lvl w:ilvl="0" w:tplc="4E7EC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4C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AC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6A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0E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88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2F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6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6B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B527C6"/>
    <w:multiLevelType w:val="hybridMultilevel"/>
    <w:tmpl w:val="28E421B4"/>
    <w:lvl w:ilvl="0" w:tplc="E7FC3686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28FD2EFB"/>
    <w:multiLevelType w:val="hybridMultilevel"/>
    <w:tmpl w:val="0CEE7C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03032C"/>
    <w:multiLevelType w:val="hybridMultilevel"/>
    <w:tmpl w:val="BB14A07C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C75B0A"/>
    <w:multiLevelType w:val="hybridMultilevel"/>
    <w:tmpl w:val="AEA80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979DD"/>
    <w:multiLevelType w:val="hybridMultilevel"/>
    <w:tmpl w:val="C75CB734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C52F95"/>
    <w:multiLevelType w:val="hybridMultilevel"/>
    <w:tmpl w:val="C450D842"/>
    <w:lvl w:ilvl="0" w:tplc="BA327E28">
      <w:start w:val="1"/>
      <w:numFmt w:val="bullet"/>
      <w:lvlText w:val="─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BA327E28">
      <w:start w:val="1"/>
      <w:numFmt w:val="bullet"/>
      <w:lvlText w:val="─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4A4265"/>
    <w:multiLevelType w:val="hybridMultilevel"/>
    <w:tmpl w:val="5E76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4D421D30"/>
    <w:multiLevelType w:val="hybridMultilevel"/>
    <w:tmpl w:val="FD987512"/>
    <w:lvl w:ilvl="0" w:tplc="C00651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2D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6FE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22B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AB6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27B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05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CDF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6A6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05E43"/>
    <w:multiLevelType w:val="hybridMultilevel"/>
    <w:tmpl w:val="519E9E98"/>
    <w:lvl w:ilvl="0" w:tplc="4DF4F62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15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04"/>
    <w:rsid w:val="0001579E"/>
    <w:rsid w:val="000D7658"/>
    <w:rsid w:val="000E5EA0"/>
    <w:rsid w:val="00145CA8"/>
    <w:rsid w:val="00187DA2"/>
    <w:rsid w:val="00190A00"/>
    <w:rsid w:val="002267D0"/>
    <w:rsid w:val="002F0917"/>
    <w:rsid w:val="002F4C5B"/>
    <w:rsid w:val="003D60E8"/>
    <w:rsid w:val="00400EE5"/>
    <w:rsid w:val="00442FC6"/>
    <w:rsid w:val="00466222"/>
    <w:rsid w:val="00486489"/>
    <w:rsid w:val="004F5FB6"/>
    <w:rsid w:val="00520EF0"/>
    <w:rsid w:val="00654B2A"/>
    <w:rsid w:val="006F5618"/>
    <w:rsid w:val="0079580F"/>
    <w:rsid w:val="00851804"/>
    <w:rsid w:val="00883F42"/>
    <w:rsid w:val="009B1242"/>
    <w:rsid w:val="00A176E5"/>
    <w:rsid w:val="00A602B9"/>
    <w:rsid w:val="00A83579"/>
    <w:rsid w:val="00AE25D0"/>
    <w:rsid w:val="00AE39F0"/>
    <w:rsid w:val="00AF0604"/>
    <w:rsid w:val="00AF0F05"/>
    <w:rsid w:val="00C73D83"/>
    <w:rsid w:val="00CD0F5C"/>
    <w:rsid w:val="00D97D10"/>
    <w:rsid w:val="00DA79B5"/>
    <w:rsid w:val="00EA2E94"/>
    <w:rsid w:val="00F42CF7"/>
    <w:rsid w:val="00F548D7"/>
    <w:rsid w:val="00FC4550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A4E7"/>
  <w15:docId w15:val="{6A4011D7-FE66-4C05-8E66-7DFBCE8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FC45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1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45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DA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F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5FB6"/>
  </w:style>
  <w:style w:type="paragraph" w:styleId="ab">
    <w:name w:val="footer"/>
    <w:basedOn w:val="a"/>
    <w:link w:val="ac"/>
    <w:uiPriority w:val="99"/>
    <w:unhideWhenUsed/>
    <w:rsid w:val="004F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5FB6"/>
  </w:style>
  <w:style w:type="character" w:styleId="ad">
    <w:name w:val="Hyperlink"/>
    <w:basedOn w:val="a0"/>
    <w:uiPriority w:val="99"/>
    <w:semiHidden/>
    <w:unhideWhenUsed/>
    <w:rsid w:val="00400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Ванчурина Наталья Александровна</cp:lastModifiedBy>
  <cp:revision>25</cp:revision>
  <dcterms:created xsi:type="dcterms:W3CDTF">2013-01-12T14:00:00Z</dcterms:created>
  <dcterms:modified xsi:type="dcterms:W3CDTF">2021-02-27T05:07:00Z</dcterms:modified>
</cp:coreProperties>
</file>