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32"/>
          <w:highlight w:val="none"/>
          <w:u w:val="single"/>
        </w:rPr>
      </w:pPr>
      <w:r>
        <w:rPr>
          <w:rFonts w:ascii="Times New Roman" w:hAnsi="Times New Roman" w:cs="Times New Roman" w:eastAsia="Times New Roman"/>
          <w:b/>
          <w:sz w:val="32"/>
          <w:u w:val="single"/>
        </w:rPr>
        <w:t xml:space="preserve">ПАМЯТКА ДЛЯ ПАЦИЕНТА</w:t>
      </w:r>
      <w:r>
        <w:rPr>
          <w:u w:val="single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Показания</w:t>
      </w:r>
      <w:r>
        <w:rPr>
          <w:rFonts w:ascii="Times New Roman" w:hAnsi="Times New Roman" w:cs="Times New Roman" w:eastAsia="Times New Roman"/>
          <w:b/>
          <w:sz w:val="32"/>
          <w:highlight w:val="none"/>
          <w:lang w:val="en-US"/>
        </w:rPr>
        <w:t xml:space="preserve">:</w:t>
      </w:r>
      <w:r>
        <w:rPr>
          <w:sz w:val="20"/>
        </w:rPr>
      </w:r>
    </w:p>
    <w:p>
      <w:pPr>
        <w:pStyle w:val="602"/>
        <w:numPr>
          <w:ilvl w:val="0"/>
          <w:numId w:val="1"/>
        </w:numPr>
        <w:ind w:right="0"/>
        <w:spacing w:after="0" w:before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Существенные отклонения от</w:t>
      </w:r>
      <w:hyperlink r:id="rId10" w:tooltip="https://yandex.ru/turbo?parent-reqid=1655308593808740-6475653385808755066-sas6-5255-1e3-sas-l7-balancer-8080-BAL-5040&amp;text=https%3A//health.yandex.ru/procedures/analysis/oam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 </w:t>
        </w:r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</w:rPr>
          <w:t xml:space="preserve">нормы в ОАМ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симптомах патологии мочевыделительного тракта (изменение цвета, запаха, прозрачности и количества мочи, частоты мочевыделения, боли в поясничной области, нижнем отделе живота, при мочеиспускании);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Скрытая </w:t>
      </w:r>
      <w:hyperlink r:id="rId11" w:tooltip="https://yandex.ru/turbo?parent-reqid=1655308593808740-6475653385808755066-sas6-5255-1e3-sas-l7-balancer-8080-BAL-5040&amp;text=https%3A//health.yandex.ru/procedures/analysis/haematuria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</w:rPr>
          <w:t xml:space="preserve">гематурия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(наличие кровяных примесей в моче);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Цилиндрурия (наличие цилиндров в моче);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Диагностика преобладания у пациента </w:t>
      </w:r>
      <w:hyperlink r:id="rId12" w:tooltip="https://yandex.ru/turbo?parent-reqid=1655308593808740-6475653385808755066-sas6-5255-1e3-sas-l7-balancer-8080-BAL-5040&amp;text=https%3A//health.yandex.ru/procedures/analysis/oam/eritrocity-v-moche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</w:rPr>
          <w:t xml:space="preserve">эритроцитов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или </w:t>
      </w:r>
      <w:hyperlink r:id="rId13" w:tooltip="https://yandex.ru/turbo?parent-reqid=1655308593808740-6475653385808755066-sas6-5255-1e3-sas-l7-balancer-8080-BAL-5040&amp;text=https%3A//health.yandex.ru/procedures/analysis/oam/leikocity-v-moche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</w:rPr>
          <w:t xml:space="preserve">лейкоцитов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в моче;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Обследование беременных;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Диагностика позднего токсикоза у беременных;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Диагностика латентного (вялотекущего) воспаления мочевыводящих путей и почек;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Диагностика повреждения почек при некоторых системных заболеваниях (например, сахарном диабете, системной красной волчанке, амилоидозе, васкулите и травмах);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pStyle w:val="602"/>
        <w:numPr>
          <w:ilvl w:val="0"/>
          <w:numId w:val="1"/>
        </w:numPr>
        <w:ind w:right="0"/>
        <w:spacing w:after="0" w:before="6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Контроль эффективности текущего курса лечения.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  <w:t xml:space="preserve">Правила подготовки к анализу</w:t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  <w:t xml:space="preserve">:</w:t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</w:p>
    <w:p>
      <w:pPr>
        <w:ind w:left="0" w:right="0" w:firstLine="0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За 3 суток до исследования: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2"/>
        </w:numPr>
        <w:ind w:right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прекратить прием растительной пищи, которая может изменить цвет мочи (свекла, морковь и т.д.);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2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отказаться от приема диуретиков и продуктов питания, обладающих мочегонным действием (арбуз).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spacing w:after="0" w:before="18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За сутки до теста: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3"/>
        </w:numPr>
        <w:ind w:right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отказаться от энергетических и алкогольных напитков;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3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исключить физические нагрузки и эмоциональный стресс.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spacing w:after="0" w:before="18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Дополнительная информация: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4"/>
        </w:numPr>
        <w:ind w:right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анализ мочи проводят не ранее чем на 7-е сутки после цистоскопии;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4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собирать биоматериал во время менструаций разрешается только в экстренных случаях.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09" w:right="0" w:firstLine="0"/>
        <w:spacing w:after="0" w:before="60"/>
        <w:rPr>
          <w:rFonts w:ascii="Times New Roman" w:hAnsi="Times New Roman" w:cs="Times New Roman" w:eastAsia="Times New Roman"/>
          <w:color w:val="333333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8"/>
          <w:highlight w:val="none"/>
        </w:rPr>
      </w:r>
    </w:p>
    <w:p>
      <w:pPr>
        <w:ind w:left="709" w:right="0" w:firstLine="0"/>
        <w:spacing w:after="0" w:before="60"/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</w:r>
    </w:p>
    <w:p>
      <w:pPr>
        <w:ind w:left="709" w:right="0" w:firstLine="0"/>
        <w:spacing w:after="0" w:before="60"/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</w:rPr>
        <w:t xml:space="preserve">Правила сбора мочи</w:t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  <w:t xml:space="preserve">:</w:t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</w:r>
    </w:p>
    <w:p>
      <w:pPr>
        <w:pStyle w:val="602"/>
        <w:numPr>
          <w:ilvl w:val="0"/>
          <w:numId w:val="9"/>
        </w:numPr>
        <w:ind w:right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Перед процедурой сбора мочи необходимо выполнить тщательный гигиенический туалет половых органов. Это позволит снизить вероятность попадания бактерий потовых и сальных желез в биоматериал (мочу).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9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Для анализа берется средняя порция утренней мочи, собранная сразу после пробуждения.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10"/>
        </w:numPr>
        <w:ind w:right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Первые 15-20 мл мочи сливаются в унитаз, поскольку в них содержится большое количество органических примесей;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10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Следующая порция (средняя) объемом не менее 30 мл собирается в стерильный контейнер. Если в комплекте прилагается консервант, то его необходимо добавить в мочу;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10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Оставшуюся мочу также сливают в унитаз.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11"/>
        </w:numPr>
        <w:ind w:right="0"/>
        <w:spacing w:after="0" w:before="6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</w:rPr>
        <w:t xml:space="preserve">К контейнеру прикрепляется сопроводительный лист со следующей информацией: ФИО пациента, дата и время сбора мочи, общий объем собранного биоматериала.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09" w:right="0" w:firstLine="0"/>
        <w:spacing w:after="0" w:before="6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</w:r>
      <w:r>
        <w:rPr>
          <w:rFonts w:ascii="Times New Roman" w:hAnsi="Times New Roman" w:cs="Times New Roman" w:eastAsia="Times New Roman"/>
          <w:b/>
          <w:color w:val="333333"/>
          <w:sz w:val="28"/>
          <w:highlight w:val="none"/>
          <w:lang w:val="en-US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86500" cy="31432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450540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286500" cy="314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5.0pt;height:247.5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</w:p>
    <w:p>
      <w:pPr>
        <w:jc w:val="left"/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  <w:r/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  <w:lang w:val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7FFF" w:themeColor="text1"/>
        <w:sz w:val="26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7FFF"/>
        <w:sz w:val="26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7FFF"/>
        <w:sz w:val="26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7FFF"/>
        <w:sz w:val="26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7FFF"/>
        <w:sz w:val="26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7FFF"/>
        <w:sz w:val="26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7FFF"/>
        <w:sz w:val="26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7FFF"/>
        <w:sz w:val="26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7FFF"/>
        <w:sz w:val="26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yandex.ru/turbo?parent-reqid=1655308593808740-6475653385808755066-sas6-5255-1e3-sas-l7-balancer-8080-BAL-5040&amp;text=https%3A//health.yandex.ru/procedures/analysis/oam" TargetMode="External"/><Relationship Id="rId11" Type="http://schemas.openxmlformats.org/officeDocument/2006/relationships/hyperlink" Target="https://yandex.ru/turbo?parent-reqid=1655308593808740-6475653385808755066-sas6-5255-1e3-sas-l7-balancer-8080-BAL-5040&amp;text=https%3A//health.yandex.ru/procedures/analysis/haematuria" TargetMode="External"/><Relationship Id="rId12" Type="http://schemas.openxmlformats.org/officeDocument/2006/relationships/hyperlink" Target="https://yandex.ru/turbo?parent-reqid=1655308593808740-6475653385808755066-sas6-5255-1e3-sas-l7-balancer-8080-BAL-5040&amp;text=https%3A//health.yandex.ru/procedures/analysis/oam/eritrocity-v-moche" TargetMode="External"/><Relationship Id="rId13" Type="http://schemas.openxmlformats.org/officeDocument/2006/relationships/hyperlink" Target="https://yandex.ru/turbo?parent-reqid=1655308593808740-6475653385808755066-sas6-5255-1e3-sas-l7-balancer-8080-BAL-5040&amp;text=https%3A//health.yandex.ru/procedures/analysis/oam/leikocity-v-moche" TargetMode="External"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2022-06-15T16:08:44Z</dcterms:modified>
</cp:coreProperties>
</file>