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B" w:rsidRPr="00282CB2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Pr="00282CB2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онкологии и лучевой терапии с курсом ПО</w:t>
      </w: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Заведующий кафедрой, ДМН,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Руслан Александрович</w:t>
      </w: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Реферат на тему:</w:t>
      </w:r>
    </w:p>
    <w:p w:rsidR="000F312B" w:rsidRDefault="000F312B" w:rsidP="000F312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312B" w:rsidRPr="00B45018" w:rsidRDefault="000F312B" w:rsidP="000F312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Немелкоклеточный</w:t>
      </w:r>
      <w:proofErr w:type="spellEnd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рак легкого</w:t>
      </w:r>
    </w:p>
    <w:p w:rsidR="000F312B" w:rsidRPr="00B21AA8" w:rsidRDefault="000F312B" w:rsidP="000F31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Адъювантная</w:t>
      </w:r>
      <w:proofErr w:type="spellEnd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таргетная</w:t>
      </w:r>
      <w:proofErr w:type="spellEnd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терапия при </w:t>
      </w:r>
      <w:proofErr w:type="spellStart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немелкоклеточном</w:t>
      </w:r>
      <w:proofErr w:type="spellEnd"/>
      <w:r w:rsidRPr="00B45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раке легкого</w:t>
      </w: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клинический ординатор </w:t>
      </w:r>
    </w:p>
    <w:p w:rsid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Головня Анастасия Викторовна</w:t>
      </w:r>
    </w:p>
    <w:p w:rsid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Проверил: кафедральный руководитель</w:t>
      </w:r>
    </w:p>
    <w:p w:rsid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ординатора КМН </w:t>
      </w: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Гаврилюк Дмитрий Владимирович</w:t>
      </w: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Pr="00B21AA8" w:rsidRDefault="000F312B" w:rsidP="000F312B">
      <w:pPr>
        <w:rPr>
          <w:rFonts w:ascii="Times New Roman" w:hAnsi="Times New Roman" w:cs="Times New Roman"/>
          <w:sz w:val="28"/>
          <w:szCs w:val="28"/>
        </w:rPr>
      </w:pPr>
    </w:p>
    <w:p w:rsidR="000F312B" w:rsidRDefault="000F312B" w:rsidP="000F3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2B" w:rsidRPr="00B21AA8" w:rsidRDefault="000F312B" w:rsidP="000F3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2B" w:rsidRDefault="000F312B" w:rsidP="000F3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0F312B" w:rsidRPr="000F312B" w:rsidRDefault="000F312B" w:rsidP="000F3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Введение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Диагностика НМРЛ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Методы лечения НМРЛ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 xml:space="preserve">Эволюция изучения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Заключение</w:t>
      </w:r>
    </w:p>
    <w:p w:rsidR="000F312B" w:rsidRPr="000F312B" w:rsidRDefault="000F312B" w:rsidP="000F3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>Список использованной литература</w:t>
      </w:r>
    </w:p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C70602" w:rsidRDefault="00C70602"/>
    <w:p w:rsidR="000F312B" w:rsidRDefault="000F312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70602" w:rsidRDefault="00C70602"/>
    <w:p w:rsidR="00C70602" w:rsidRPr="00C70602" w:rsidRDefault="00C70602">
      <w:pPr>
        <w:rPr>
          <w:rFonts w:ascii="Times New Roman" w:hAnsi="Times New Roman" w:cs="Times New Roman"/>
          <w:sz w:val="28"/>
          <w:szCs w:val="28"/>
        </w:rPr>
      </w:pP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Рак лёгкого развивается из клеток различных тканей легких, кот</w:t>
      </w:r>
      <w:r w:rsidR="000F312B">
        <w:rPr>
          <w:rFonts w:ascii="Times New Roman" w:hAnsi="Times New Roman" w:cs="Times New Roman"/>
          <w:sz w:val="28"/>
          <w:szCs w:val="28"/>
        </w:rPr>
        <w:t xml:space="preserve">орые начинают аномально расти и </w:t>
      </w:r>
      <w:r w:rsidRPr="00C70602">
        <w:rPr>
          <w:rFonts w:ascii="Times New Roman" w:hAnsi="Times New Roman" w:cs="Times New Roman"/>
          <w:sz w:val="28"/>
          <w:szCs w:val="28"/>
        </w:rPr>
        <w:t>делиться, образуя опухоль.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Немелкоклеточный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рак легкого представляет собой один из</w:t>
      </w:r>
      <w:r w:rsidR="000F312B">
        <w:rPr>
          <w:rFonts w:ascii="Times New Roman" w:hAnsi="Times New Roman" w:cs="Times New Roman"/>
          <w:sz w:val="28"/>
          <w:szCs w:val="28"/>
        </w:rPr>
        <w:t xml:space="preserve"> подтипов рака легкого, который </w:t>
      </w:r>
      <w:r w:rsidRPr="00C70602">
        <w:rPr>
          <w:rFonts w:ascii="Times New Roman" w:hAnsi="Times New Roman" w:cs="Times New Roman"/>
          <w:sz w:val="28"/>
          <w:szCs w:val="28"/>
        </w:rPr>
        <w:t>отличается от мелкоклеточного рака легкого (МРЛ) видом опухолевых клеток под микроскопом.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В НМРЛ входят следующие гистологические форм</w:t>
      </w:r>
      <w:r w:rsidR="000F312B">
        <w:rPr>
          <w:rFonts w:ascii="Times New Roman" w:hAnsi="Times New Roman" w:cs="Times New Roman"/>
          <w:sz w:val="28"/>
          <w:szCs w:val="28"/>
        </w:rPr>
        <w:t xml:space="preserve">ы рака легкого: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, </w:t>
      </w:r>
      <w:r w:rsidRPr="00C70602">
        <w:rPr>
          <w:rFonts w:ascii="Times New Roman" w:hAnsi="Times New Roman" w:cs="Times New Roman"/>
          <w:sz w:val="28"/>
          <w:szCs w:val="28"/>
        </w:rPr>
        <w:t>плоскоклеточный рак и крупноклеточный (нед</w:t>
      </w:r>
      <w:r w:rsidR="000F312B">
        <w:rPr>
          <w:rFonts w:ascii="Times New Roman" w:hAnsi="Times New Roman" w:cs="Times New Roman"/>
          <w:sz w:val="28"/>
          <w:szCs w:val="28"/>
        </w:rPr>
        <w:t xml:space="preserve">ифференцированный) рак. Все они </w:t>
      </w:r>
      <w:r w:rsidRPr="00C70602">
        <w:rPr>
          <w:rFonts w:ascii="Times New Roman" w:hAnsi="Times New Roman" w:cs="Times New Roman"/>
          <w:sz w:val="28"/>
          <w:szCs w:val="28"/>
        </w:rPr>
        <w:t>диагностируются одинаково, но имеют особенности лечения.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Рак легкого – одно из самых часто встречающихся опухолевых заболеваний в Европе. На НМРЛ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приходится около 85-90% всех случаев рака легкого. Курение является основным фактором риска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развития рака легкого.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В Европе отмечается снижение смертности от рака легкого у муж</w:t>
      </w:r>
      <w:r w:rsidR="000F312B">
        <w:rPr>
          <w:rFonts w:ascii="Times New Roman" w:hAnsi="Times New Roman" w:cs="Times New Roman"/>
          <w:sz w:val="28"/>
          <w:szCs w:val="28"/>
        </w:rPr>
        <w:t xml:space="preserve">чин, тогда как у женщин отмечен </w:t>
      </w:r>
      <w:r w:rsidRPr="00C70602">
        <w:rPr>
          <w:rFonts w:ascii="Times New Roman" w:hAnsi="Times New Roman" w:cs="Times New Roman"/>
          <w:sz w:val="28"/>
          <w:szCs w:val="28"/>
        </w:rPr>
        <w:t>рост – это отражает различие в тенденциях курения между полами.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Диагностика НМРЛ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Основные симптомы, свидетельствующие о возможном за</w:t>
      </w:r>
      <w:r w:rsidR="000F312B">
        <w:rPr>
          <w:rFonts w:ascii="Times New Roman" w:hAnsi="Times New Roman" w:cs="Times New Roman"/>
          <w:sz w:val="28"/>
          <w:szCs w:val="28"/>
        </w:rPr>
        <w:t xml:space="preserve">болевании НМРЛ: упорный кашель, </w:t>
      </w:r>
      <w:r w:rsidRPr="00C70602">
        <w:rPr>
          <w:rFonts w:ascii="Times New Roman" w:hAnsi="Times New Roman" w:cs="Times New Roman"/>
          <w:sz w:val="28"/>
          <w:szCs w:val="28"/>
        </w:rPr>
        <w:t>инфекции органов грудной клетки, одышка, охриплость, боли в грудной клетке и кровохарканье.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Также на НМРЛ могут указывать: лихорадка, потеря аппетита, необоснованная поте</w:t>
      </w:r>
      <w:r w:rsidR="000F312B">
        <w:rPr>
          <w:rFonts w:ascii="Times New Roman" w:hAnsi="Times New Roman" w:cs="Times New Roman"/>
          <w:sz w:val="28"/>
          <w:szCs w:val="28"/>
        </w:rPr>
        <w:t xml:space="preserve">ря веса и </w:t>
      </w:r>
      <w:r w:rsidRPr="00C70602">
        <w:rPr>
          <w:rFonts w:ascii="Times New Roman" w:hAnsi="Times New Roman" w:cs="Times New Roman"/>
          <w:sz w:val="28"/>
          <w:szCs w:val="28"/>
        </w:rPr>
        <w:t>выраженная слабость.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После осмотра ваш врач назначит вам рентгеновскую и/и</w:t>
      </w:r>
      <w:r w:rsidR="000F312B">
        <w:rPr>
          <w:rFonts w:ascii="Times New Roman" w:hAnsi="Times New Roman" w:cs="Times New Roman"/>
          <w:sz w:val="28"/>
          <w:szCs w:val="28"/>
        </w:rPr>
        <w:t xml:space="preserve">ли компьютерную томографию (КТ) </w:t>
      </w:r>
      <w:r w:rsidRPr="00C70602">
        <w:rPr>
          <w:rFonts w:ascii="Times New Roman" w:hAnsi="Times New Roman" w:cs="Times New Roman"/>
          <w:sz w:val="28"/>
          <w:szCs w:val="28"/>
        </w:rPr>
        <w:t>(или может использовать другие технологии, такие как позитронно-эмиссионная томография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[ПЭТ] КТ или магнитно-резонансная томография [МРТ]) для оценки расположения и</w:t>
      </w:r>
      <w:r w:rsidR="000F312B">
        <w:rPr>
          <w:rFonts w:ascii="Times New Roman" w:hAnsi="Times New Roman" w:cs="Times New Roman"/>
          <w:sz w:val="28"/>
          <w:szCs w:val="28"/>
        </w:rPr>
        <w:t xml:space="preserve"> </w:t>
      </w:r>
      <w:r w:rsidRPr="00C70602">
        <w:rPr>
          <w:rFonts w:ascii="Times New Roman" w:hAnsi="Times New Roman" w:cs="Times New Roman"/>
          <w:sz w:val="28"/>
          <w:szCs w:val="28"/>
        </w:rPr>
        <w:t>распространения опухолевого процесса. Проведение биопсии (получение клеток или тканей из</w:t>
      </w:r>
      <w:r w:rsidR="000F312B">
        <w:rPr>
          <w:rFonts w:ascii="Times New Roman" w:hAnsi="Times New Roman" w:cs="Times New Roman"/>
          <w:sz w:val="28"/>
          <w:szCs w:val="28"/>
        </w:rPr>
        <w:t xml:space="preserve"> </w:t>
      </w:r>
      <w:r w:rsidRPr="00C70602">
        <w:rPr>
          <w:rFonts w:ascii="Times New Roman" w:hAnsi="Times New Roman" w:cs="Times New Roman"/>
          <w:sz w:val="28"/>
          <w:szCs w:val="28"/>
        </w:rPr>
        <w:t>опухоли) окончательно подтвердит или опровергнет диагноз НМРЛ.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Методы лечения НМРЛ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Виды лечения включают: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Хирургическое лечение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lastRenderedPageBreak/>
        <w:t>- Химиотерапия – использование противоопухолевых пр</w:t>
      </w:r>
      <w:r w:rsidR="000F312B">
        <w:rPr>
          <w:rFonts w:ascii="Times New Roman" w:hAnsi="Times New Roman" w:cs="Times New Roman"/>
          <w:sz w:val="28"/>
          <w:szCs w:val="28"/>
        </w:rPr>
        <w:t xml:space="preserve">епаратов для разрушения раковых </w:t>
      </w:r>
      <w:r w:rsidRPr="00C70602">
        <w:rPr>
          <w:rFonts w:ascii="Times New Roman" w:hAnsi="Times New Roman" w:cs="Times New Roman"/>
          <w:sz w:val="28"/>
          <w:szCs w:val="28"/>
        </w:rPr>
        <w:t>клеток. Химиотерапия может применяться как самостоятельн</w:t>
      </w:r>
      <w:r w:rsidR="000F312B">
        <w:rPr>
          <w:rFonts w:ascii="Times New Roman" w:hAnsi="Times New Roman" w:cs="Times New Roman"/>
          <w:sz w:val="28"/>
          <w:szCs w:val="28"/>
        </w:rPr>
        <w:t xml:space="preserve">о, так и в комбинации с другими </w:t>
      </w:r>
      <w:r w:rsidRPr="00C70602">
        <w:rPr>
          <w:rFonts w:ascii="Times New Roman" w:hAnsi="Times New Roman" w:cs="Times New Roman"/>
          <w:sz w:val="28"/>
          <w:szCs w:val="28"/>
        </w:rPr>
        <w:t>видами лечения.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– новейшие препараты, которые блокируют сигналы, поступаю</w:t>
      </w:r>
      <w:r w:rsidR="000F312B">
        <w:rPr>
          <w:rFonts w:ascii="Times New Roman" w:hAnsi="Times New Roman" w:cs="Times New Roman"/>
          <w:sz w:val="28"/>
          <w:szCs w:val="28"/>
        </w:rPr>
        <w:t xml:space="preserve">щие к </w:t>
      </w:r>
      <w:r w:rsidRPr="00C70602">
        <w:rPr>
          <w:rFonts w:ascii="Times New Roman" w:hAnsi="Times New Roman" w:cs="Times New Roman"/>
          <w:sz w:val="28"/>
          <w:szCs w:val="28"/>
        </w:rPr>
        <w:t>опухолевым клеткам и потенцирующие их к росту.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Иммунотерапия – метод лечения, активирующий иммунную с</w:t>
      </w:r>
      <w:r w:rsidR="000F312B">
        <w:rPr>
          <w:rFonts w:ascii="Times New Roman" w:hAnsi="Times New Roman" w:cs="Times New Roman"/>
          <w:sz w:val="28"/>
          <w:szCs w:val="28"/>
        </w:rPr>
        <w:t xml:space="preserve">истему человека для уничтожения </w:t>
      </w:r>
      <w:r w:rsidRPr="00C70602">
        <w:rPr>
          <w:rFonts w:ascii="Times New Roman" w:hAnsi="Times New Roman" w:cs="Times New Roman"/>
          <w:sz w:val="28"/>
          <w:szCs w:val="28"/>
        </w:rPr>
        <w:t>чужеродных агентов – опухолевых клеток.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Лучевая терапия – использование определенных доз различных видов излучени</w:t>
      </w:r>
      <w:r w:rsidR="000F312B">
        <w:rPr>
          <w:rFonts w:ascii="Times New Roman" w:hAnsi="Times New Roman" w:cs="Times New Roman"/>
          <w:sz w:val="28"/>
          <w:szCs w:val="28"/>
        </w:rPr>
        <w:t xml:space="preserve">я для </w:t>
      </w:r>
      <w:r w:rsidRPr="00C70602">
        <w:rPr>
          <w:rFonts w:ascii="Times New Roman" w:hAnsi="Times New Roman" w:cs="Times New Roman"/>
          <w:sz w:val="28"/>
          <w:szCs w:val="28"/>
        </w:rPr>
        <w:t>уничтожения опухолевых клеток и остановки их роста.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Комбинации различных видов лечения могут использоваться в зав</w:t>
      </w:r>
      <w:r w:rsidR="000F312B">
        <w:rPr>
          <w:rFonts w:ascii="Times New Roman" w:hAnsi="Times New Roman" w:cs="Times New Roman"/>
          <w:sz w:val="28"/>
          <w:szCs w:val="28"/>
        </w:rPr>
        <w:t xml:space="preserve">исимости от стадии и типа НМРЛ, </w:t>
      </w:r>
      <w:r w:rsidRPr="00C70602">
        <w:rPr>
          <w:rFonts w:ascii="Times New Roman" w:hAnsi="Times New Roman" w:cs="Times New Roman"/>
          <w:sz w:val="28"/>
          <w:szCs w:val="28"/>
        </w:rPr>
        <w:t>а также от состояния больного и сопутствующих заболева</w:t>
      </w:r>
      <w:r w:rsidR="000F312B">
        <w:rPr>
          <w:rFonts w:ascii="Times New Roman" w:hAnsi="Times New Roman" w:cs="Times New Roman"/>
          <w:sz w:val="28"/>
          <w:szCs w:val="28"/>
        </w:rPr>
        <w:t xml:space="preserve">ний (заболевания, которые могут </w:t>
      </w:r>
      <w:r w:rsidRPr="00C70602">
        <w:rPr>
          <w:rFonts w:ascii="Times New Roman" w:hAnsi="Times New Roman" w:cs="Times New Roman"/>
          <w:sz w:val="28"/>
          <w:szCs w:val="28"/>
        </w:rPr>
        <w:t>наблюдать у вас одновременно с основным заболеванием).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Стадия рака определяется в зависимости от размера опухоли, поражения регионарных</w:t>
      </w:r>
      <w:r w:rsidR="000F312B">
        <w:rPr>
          <w:rFonts w:ascii="Times New Roman" w:hAnsi="Times New Roman" w:cs="Times New Roman"/>
          <w:sz w:val="28"/>
          <w:szCs w:val="28"/>
        </w:rPr>
        <w:t xml:space="preserve"> </w:t>
      </w:r>
      <w:r w:rsidRPr="00C70602">
        <w:rPr>
          <w:rFonts w:ascii="Times New Roman" w:hAnsi="Times New Roman" w:cs="Times New Roman"/>
          <w:sz w:val="28"/>
          <w:szCs w:val="28"/>
        </w:rPr>
        <w:t>лимфатических узлов и от того, распространился ли процесс на другие органы, помимо легких.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Эта информация используется для выбора оптимального лечения.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Ранние стадии (стадия I-II) НМРЛ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Хирургическое лечение является основным методом лечения ранних стадий НМРЛ.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Химиотерапия может быть назначена после опер</w:t>
      </w:r>
      <w:r w:rsidR="000F312B">
        <w:rPr>
          <w:rFonts w:ascii="Times New Roman" w:hAnsi="Times New Roman" w:cs="Times New Roman"/>
          <w:sz w:val="28"/>
          <w:szCs w:val="28"/>
        </w:rPr>
        <w:t>ации (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химиотерапия) </w:t>
      </w:r>
      <w:r w:rsidRPr="00C70602">
        <w:rPr>
          <w:rFonts w:ascii="Times New Roman" w:hAnsi="Times New Roman" w:cs="Times New Roman"/>
          <w:sz w:val="28"/>
          <w:szCs w:val="28"/>
        </w:rPr>
        <w:t>пациентам со стадией II и III НМРЛ и некоторым пациентам со стадией IB.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Лучевая терапия (стереотаксическая абляционная луч</w:t>
      </w:r>
      <w:r w:rsidR="000F312B">
        <w:rPr>
          <w:rFonts w:ascii="Times New Roman" w:hAnsi="Times New Roman" w:cs="Times New Roman"/>
          <w:sz w:val="28"/>
          <w:szCs w:val="28"/>
        </w:rPr>
        <w:t xml:space="preserve">евая терапия [SABR] или обычная </w:t>
      </w:r>
      <w:r w:rsidRPr="00C70602">
        <w:rPr>
          <w:rFonts w:ascii="Times New Roman" w:hAnsi="Times New Roman" w:cs="Times New Roman"/>
          <w:sz w:val="28"/>
          <w:szCs w:val="28"/>
        </w:rPr>
        <w:t>лучевая терапия) является альтернативой хирургии у пац</w:t>
      </w:r>
      <w:r w:rsidR="000F312B">
        <w:rPr>
          <w:rFonts w:ascii="Times New Roman" w:hAnsi="Times New Roman" w:cs="Times New Roman"/>
          <w:sz w:val="28"/>
          <w:szCs w:val="28"/>
        </w:rPr>
        <w:t xml:space="preserve">иентов, которые не могут или не </w:t>
      </w:r>
      <w:r w:rsidRPr="00C70602">
        <w:rPr>
          <w:rFonts w:ascii="Times New Roman" w:hAnsi="Times New Roman" w:cs="Times New Roman"/>
          <w:sz w:val="28"/>
          <w:szCs w:val="28"/>
        </w:rPr>
        <w:t>желают делать операцию.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Лучевая терапия может быть назначена после операци</w:t>
      </w:r>
      <w:r w:rsidR="000F312B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лучевая терапия) </w:t>
      </w:r>
      <w:r w:rsidRPr="00C70602">
        <w:rPr>
          <w:rFonts w:ascii="Times New Roman" w:hAnsi="Times New Roman" w:cs="Times New Roman"/>
          <w:sz w:val="28"/>
          <w:szCs w:val="28"/>
        </w:rPr>
        <w:t>у пациентов со</w:t>
      </w:r>
      <w:r w:rsidR="000F312B">
        <w:rPr>
          <w:rFonts w:ascii="Times New Roman" w:hAnsi="Times New Roman" w:cs="Times New Roman"/>
          <w:sz w:val="28"/>
          <w:szCs w:val="28"/>
        </w:rPr>
        <w:t xml:space="preserve"> стадией II и стадией III НМРЛ. </w:t>
      </w:r>
      <w:r w:rsidRPr="00C70602">
        <w:rPr>
          <w:rFonts w:ascii="Times New Roman" w:hAnsi="Times New Roman" w:cs="Times New Roman"/>
          <w:sz w:val="28"/>
          <w:szCs w:val="28"/>
        </w:rPr>
        <w:t>• Местно-распространенный (стадия III) НМРЛ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- Лечение местно-распространенного НМРЛ обычно </w:t>
      </w:r>
      <w:r w:rsidR="000F312B">
        <w:rPr>
          <w:rFonts w:ascii="Times New Roman" w:hAnsi="Times New Roman" w:cs="Times New Roman"/>
          <w:sz w:val="28"/>
          <w:szCs w:val="28"/>
        </w:rPr>
        <w:t xml:space="preserve">включает различные виды терапии </w:t>
      </w:r>
      <w:r w:rsidRPr="00C706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- Если возможно удалить опухоль (то есть опухоль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резекта</w:t>
      </w:r>
      <w:r w:rsidR="000F312B">
        <w:rPr>
          <w:rFonts w:ascii="Times New Roman" w:hAnsi="Times New Roman" w:cs="Times New Roman"/>
          <w:sz w:val="28"/>
          <w:szCs w:val="28"/>
        </w:rPr>
        <w:t>бельна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), варианты лечения могут </w:t>
      </w:r>
      <w:r w:rsidRPr="00C70602">
        <w:rPr>
          <w:rFonts w:ascii="Times New Roman" w:hAnsi="Times New Roman" w:cs="Times New Roman"/>
          <w:sz w:val="28"/>
          <w:szCs w:val="28"/>
        </w:rPr>
        <w:t>включать: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~ Индукционную терапию (начальное лечение, проводим</w:t>
      </w:r>
      <w:r w:rsidR="000F312B">
        <w:rPr>
          <w:rFonts w:ascii="Times New Roman" w:hAnsi="Times New Roman" w:cs="Times New Roman"/>
          <w:sz w:val="28"/>
          <w:szCs w:val="28"/>
        </w:rPr>
        <w:t xml:space="preserve">ое для уменьшения опухоли перед </w:t>
      </w:r>
      <w:r w:rsidRPr="00C70602">
        <w:rPr>
          <w:rFonts w:ascii="Times New Roman" w:hAnsi="Times New Roman" w:cs="Times New Roman"/>
          <w:sz w:val="28"/>
          <w:szCs w:val="28"/>
        </w:rPr>
        <w:t xml:space="preserve">последующим запланированным лечением), состоящую из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>хими</w:t>
      </w:r>
      <w:r w:rsidR="000F312B">
        <w:rPr>
          <w:rFonts w:ascii="Times New Roman" w:hAnsi="Times New Roman" w:cs="Times New Roman"/>
          <w:sz w:val="28"/>
          <w:szCs w:val="28"/>
        </w:rPr>
        <w:t xml:space="preserve">отерапии в комбинации с лучевой </w:t>
      </w:r>
      <w:r w:rsidRPr="00C70602">
        <w:rPr>
          <w:rFonts w:ascii="Times New Roman" w:hAnsi="Times New Roman" w:cs="Times New Roman"/>
          <w:sz w:val="28"/>
          <w:szCs w:val="28"/>
        </w:rPr>
        <w:t>терапией или без нее и последующей операцией.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~ Операцию с последующей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химиотерапией и/или лучевой терапией.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~ Химиолучевую терапию (то есть химиотерапия и, проводимые одновременно или последовательно).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Тип лечения и иногда последовательность видов те</w:t>
      </w:r>
      <w:r w:rsidR="000F312B">
        <w:rPr>
          <w:rFonts w:ascii="Times New Roman" w:hAnsi="Times New Roman" w:cs="Times New Roman"/>
          <w:sz w:val="28"/>
          <w:szCs w:val="28"/>
        </w:rPr>
        <w:t xml:space="preserve">рапии, предлагаемых пациентам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резектабельным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НМРЛ III стадии, будет зависеть от общего со</w:t>
      </w:r>
      <w:r w:rsidR="000F312B">
        <w:rPr>
          <w:rFonts w:ascii="Times New Roman" w:hAnsi="Times New Roman" w:cs="Times New Roman"/>
          <w:sz w:val="28"/>
          <w:szCs w:val="28"/>
        </w:rPr>
        <w:t xml:space="preserve">стояния здоровья пациента и его </w:t>
      </w:r>
      <w:r w:rsidRPr="00C70602">
        <w:rPr>
          <w:rFonts w:ascii="Times New Roman" w:hAnsi="Times New Roman" w:cs="Times New Roman"/>
          <w:sz w:val="28"/>
          <w:szCs w:val="28"/>
        </w:rPr>
        <w:t>сопутствующих заболеваний, а также от объема и слож</w:t>
      </w:r>
      <w:r w:rsidR="000F312B">
        <w:rPr>
          <w:rFonts w:ascii="Times New Roman" w:hAnsi="Times New Roman" w:cs="Times New Roman"/>
          <w:sz w:val="28"/>
          <w:szCs w:val="28"/>
        </w:rPr>
        <w:t xml:space="preserve">ности операции, необходимой для </w:t>
      </w:r>
      <w:r w:rsidRPr="00C70602">
        <w:rPr>
          <w:rFonts w:ascii="Times New Roman" w:hAnsi="Times New Roman" w:cs="Times New Roman"/>
          <w:sz w:val="28"/>
          <w:szCs w:val="28"/>
        </w:rPr>
        <w:t>удаления опухоли.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При неоперабельном НМРЛ III стадии химиолучевая те</w:t>
      </w:r>
      <w:r w:rsidR="000F312B">
        <w:rPr>
          <w:rFonts w:ascii="Times New Roman" w:hAnsi="Times New Roman" w:cs="Times New Roman"/>
          <w:sz w:val="28"/>
          <w:szCs w:val="28"/>
        </w:rPr>
        <w:t xml:space="preserve">рапия является предпочтительным </w:t>
      </w:r>
      <w:r w:rsidRPr="00C70602">
        <w:rPr>
          <w:rFonts w:ascii="Times New Roman" w:hAnsi="Times New Roman" w:cs="Times New Roman"/>
          <w:sz w:val="28"/>
          <w:szCs w:val="28"/>
        </w:rPr>
        <w:t>лечением. Химиотерапия и лучевая терапия могут назна</w:t>
      </w:r>
      <w:r w:rsidR="000F312B">
        <w:rPr>
          <w:rFonts w:ascii="Times New Roman" w:hAnsi="Times New Roman" w:cs="Times New Roman"/>
          <w:sz w:val="28"/>
          <w:szCs w:val="28"/>
        </w:rPr>
        <w:t xml:space="preserve">чаться последовательно (то есть </w:t>
      </w:r>
      <w:r w:rsidRPr="00C70602">
        <w:rPr>
          <w:rFonts w:ascii="Times New Roman" w:hAnsi="Times New Roman" w:cs="Times New Roman"/>
          <w:sz w:val="28"/>
          <w:szCs w:val="28"/>
        </w:rPr>
        <w:t>одна за другой пациентам, которые по состоянию здоровья н</w:t>
      </w:r>
      <w:r w:rsidR="000F312B">
        <w:rPr>
          <w:rFonts w:ascii="Times New Roman" w:hAnsi="Times New Roman" w:cs="Times New Roman"/>
          <w:sz w:val="28"/>
          <w:szCs w:val="28"/>
        </w:rPr>
        <w:t xml:space="preserve">е могут перенести одновременное </w:t>
      </w:r>
      <w:r w:rsidRPr="00C70602">
        <w:rPr>
          <w:rFonts w:ascii="Times New Roman" w:hAnsi="Times New Roman" w:cs="Times New Roman"/>
          <w:sz w:val="28"/>
          <w:szCs w:val="28"/>
        </w:rPr>
        <w:t>лечение.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Иммунотерапия может быть предложена некот</w:t>
      </w:r>
      <w:r w:rsidR="000F312B">
        <w:rPr>
          <w:rFonts w:ascii="Times New Roman" w:hAnsi="Times New Roman" w:cs="Times New Roman"/>
          <w:sz w:val="28"/>
          <w:szCs w:val="28"/>
        </w:rPr>
        <w:t xml:space="preserve">орым пациентам с неоперабельным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местнораспространенным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НМРЛ после проведения химиолучевой терапии.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• Метастатический НМРЛ (стадия IV)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НМРЛ определяется как метастатическое заболев</w:t>
      </w:r>
      <w:r w:rsidR="000F312B">
        <w:rPr>
          <w:rFonts w:ascii="Times New Roman" w:hAnsi="Times New Roman" w:cs="Times New Roman"/>
          <w:sz w:val="28"/>
          <w:szCs w:val="28"/>
        </w:rPr>
        <w:t xml:space="preserve">ание (IV стадия), когда опухоль </w:t>
      </w:r>
      <w:r w:rsidRPr="00C70602">
        <w:rPr>
          <w:rFonts w:ascii="Times New Roman" w:hAnsi="Times New Roman" w:cs="Times New Roman"/>
          <w:sz w:val="28"/>
          <w:szCs w:val="28"/>
        </w:rPr>
        <w:t>распространяется за пределы легкого, которое было первоначально поражено.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Иногда возможно удалить метастатический очаг НМРЛ х</w:t>
      </w:r>
      <w:r w:rsidR="000F312B">
        <w:rPr>
          <w:rFonts w:ascii="Times New Roman" w:hAnsi="Times New Roman" w:cs="Times New Roman"/>
          <w:sz w:val="28"/>
          <w:szCs w:val="28"/>
        </w:rPr>
        <w:t xml:space="preserve">ирургическим путем или провести </w:t>
      </w:r>
      <w:r w:rsidRPr="00C70602">
        <w:rPr>
          <w:rFonts w:ascii="Times New Roman" w:hAnsi="Times New Roman" w:cs="Times New Roman"/>
          <w:sz w:val="28"/>
          <w:szCs w:val="28"/>
        </w:rPr>
        <w:t>радикальную лучевую терапию.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Внутривенная химиотерапия комбинацией из двух пр</w:t>
      </w:r>
      <w:r w:rsidR="000F312B">
        <w:rPr>
          <w:rFonts w:ascii="Times New Roman" w:hAnsi="Times New Roman" w:cs="Times New Roman"/>
          <w:sz w:val="28"/>
          <w:szCs w:val="28"/>
        </w:rPr>
        <w:t xml:space="preserve">епаратов (с добавлением или без </w:t>
      </w:r>
      <w:r w:rsidRPr="00C70602">
        <w:rPr>
          <w:rFonts w:ascii="Times New Roman" w:hAnsi="Times New Roman" w:cs="Times New Roman"/>
          <w:sz w:val="28"/>
          <w:szCs w:val="28"/>
        </w:rPr>
        <w:t xml:space="preserve">добавления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бевацизумаб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) является основным методом лечения пациент</w:t>
      </w:r>
      <w:r w:rsidR="000F312B">
        <w:rPr>
          <w:rFonts w:ascii="Times New Roman" w:hAnsi="Times New Roman" w:cs="Times New Roman"/>
          <w:sz w:val="28"/>
          <w:szCs w:val="28"/>
        </w:rPr>
        <w:t xml:space="preserve">ов </w:t>
      </w:r>
      <w:r w:rsidRPr="00C70602">
        <w:rPr>
          <w:rFonts w:ascii="Times New Roman" w:hAnsi="Times New Roman" w:cs="Times New Roman"/>
          <w:sz w:val="28"/>
          <w:szCs w:val="28"/>
        </w:rPr>
        <w:t>с метастатическим НМРЛ.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Выбор используемых препаратов будет в значительной степе</w:t>
      </w:r>
      <w:r w:rsidR="000F312B">
        <w:rPr>
          <w:rFonts w:ascii="Times New Roman" w:hAnsi="Times New Roman" w:cs="Times New Roman"/>
          <w:sz w:val="28"/>
          <w:szCs w:val="28"/>
        </w:rPr>
        <w:t xml:space="preserve">ни зависеть от общего состояния </w:t>
      </w:r>
      <w:r w:rsidRPr="00C70602">
        <w:rPr>
          <w:rFonts w:ascii="Times New Roman" w:hAnsi="Times New Roman" w:cs="Times New Roman"/>
          <w:sz w:val="28"/>
          <w:szCs w:val="28"/>
        </w:rPr>
        <w:t>здоровья пациента, гистологического подтипа опухоли.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Пациенты, у которых в опухоли выявляется относительно вы</w:t>
      </w:r>
      <w:r w:rsidR="000F312B">
        <w:rPr>
          <w:rFonts w:ascii="Times New Roman" w:hAnsi="Times New Roman" w:cs="Times New Roman"/>
          <w:sz w:val="28"/>
          <w:szCs w:val="28"/>
        </w:rPr>
        <w:t xml:space="preserve">сокий уровень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лиганда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рецептора </w:t>
      </w:r>
      <w:r w:rsidRPr="00C70602">
        <w:rPr>
          <w:rFonts w:ascii="Times New Roman" w:hAnsi="Times New Roman" w:cs="Times New Roman"/>
          <w:sz w:val="28"/>
          <w:szCs w:val="28"/>
        </w:rPr>
        <w:t xml:space="preserve">программируемой клеточной смерти 1 (PD-L1) (определяемого </w:t>
      </w:r>
      <w:r w:rsidR="000F312B">
        <w:rPr>
          <w:rFonts w:ascii="Times New Roman" w:hAnsi="Times New Roman" w:cs="Times New Roman"/>
          <w:sz w:val="28"/>
          <w:szCs w:val="28"/>
        </w:rPr>
        <w:t xml:space="preserve">молекулярным </w:t>
      </w:r>
      <w:r w:rsidRPr="00C70602">
        <w:rPr>
          <w:rFonts w:ascii="Times New Roman" w:hAnsi="Times New Roman" w:cs="Times New Roman"/>
          <w:sz w:val="28"/>
          <w:szCs w:val="28"/>
        </w:rPr>
        <w:t>тестированием с использованием биопсии опухоли), могу</w:t>
      </w:r>
      <w:r w:rsidR="000F312B">
        <w:rPr>
          <w:rFonts w:ascii="Times New Roman" w:hAnsi="Times New Roman" w:cs="Times New Roman"/>
          <w:sz w:val="28"/>
          <w:szCs w:val="28"/>
        </w:rPr>
        <w:t xml:space="preserve">т получать иммунотерапию первой </w:t>
      </w:r>
      <w:r w:rsidRPr="00C70602">
        <w:rPr>
          <w:rFonts w:ascii="Times New Roman" w:hAnsi="Times New Roman" w:cs="Times New Roman"/>
          <w:sz w:val="28"/>
          <w:szCs w:val="28"/>
        </w:rPr>
        <w:t xml:space="preserve">линии с использованием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пембролизумаба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Лучшим подходом для пациентов, опухоли которых</w:t>
      </w:r>
      <w:r w:rsidR="000F312B">
        <w:rPr>
          <w:rFonts w:ascii="Times New Roman" w:hAnsi="Times New Roman" w:cs="Times New Roman"/>
          <w:sz w:val="28"/>
          <w:szCs w:val="28"/>
        </w:rPr>
        <w:t xml:space="preserve"> содержат специфические мутации </w:t>
      </w:r>
      <w:r w:rsidRPr="00C70602">
        <w:rPr>
          <w:rFonts w:ascii="Times New Roman" w:hAnsi="Times New Roman" w:cs="Times New Roman"/>
          <w:sz w:val="28"/>
          <w:szCs w:val="28"/>
        </w:rPr>
        <w:t xml:space="preserve">(изменения) в генах рецептора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эпидермальн</w:t>
      </w:r>
      <w:r w:rsidR="000F312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фактора роста (EGFR), BRAF, </w:t>
      </w:r>
      <w:r w:rsidRPr="00C70602">
        <w:rPr>
          <w:rFonts w:ascii="Times New Roman" w:hAnsi="Times New Roman" w:cs="Times New Roman"/>
          <w:sz w:val="28"/>
          <w:szCs w:val="28"/>
        </w:rPr>
        <w:t xml:space="preserve">анапластической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киназы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(ALK) и</w:t>
      </w:r>
      <w:r w:rsidR="000F312B">
        <w:rPr>
          <w:rFonts w:ascii="Times New Roman" w:hAnsi="Times New Roman" w:cs="Times New Roman"/>
          <w:sz w:val="28"/>
          <w:szCs w:val="28"/>
        </w:rPr>
        <w:t xml:space="preserve">ли </w:t>
      </w:r>
      <w:r w:rsidR="000F312B">
        <w:rPr>
          <w:rFonts w:ascii="Times New Roman" w:hAnsi="Times New Roman" w:cs="Times New Roman"/>
          <w:sz w:val="28"/>
          <w:szCs w:val="28"/>
        </w:rPr>
        <w:lastRenderedPageBreak/>
        <w:t xml:space="preserve">ROS1 (определяемые с помощью </w:t>
      </w:r>
      <w:r w:rsidRPr="00C70602">
        <w:rPr>
          <w:rFonts w:ascii="Times New Roman" w:hAnsi="Times New Roman" w:cs="Times New Roman"/>
          <w:sz w:val="28"/>
          <w:szCs w:val="28"/>
        </w:rPr>
        <w:t>молекулярного тестирования с использованием биопсии</w:t>
      </w:r>
      <w:r w:rsidR="000F312B">
        <w:rPr>
          <w:rFonts w:ascii="Times New Roman" w:hAnsi="Times New Roman" w:cs="Times New Roman"/>
          <w:sz w:val="28"/>
          <w:szCs w:val="28"/>
        </w:rPr>
        <w:t xml:space="preserve"> опухоли), является пероральная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терапия, проводимая непрерывно.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После 4-6 циклов дуплетной химиотерапии (то есть двух х</w:t>
      </w:r>
      <w:r w:rsidR="000F312B">
        <w:rPr>
          <w:rFonts w:ascii="Times New Roman" w:hAnsi="Times New Roman" w:cs="Times New Roman"/>
          <w:sz w:val="28"/>
          <w:szCs w:val="28"/>
        </w:rPr>
        <w:t xml:space="preserve">имиотерапевтических препаратов, </w:t>
      </w:r>
      <w:r w:rsidRPr="00C70602">
        <w:rPr>
          <w:rFonts w:ascii="Times New Roman" w:hAnsi="Times New Roman" w:cs="Times New Roman"/>
          <w:sz w:val="28"/>
          <w:szCs w:val="28"/>
        </w:rPr>
        <w:t>назначаемых вместе), пациентам с хорошим общ</w:t>
      </w:r>
      <w:r w:rsidR="000F312B">
        <w:rPr>
          <w:rFonts w:ascii="Times New Roman" w:hAnsi="Times New Roman" w:cs="Times New Roman"/>
          <w:sz w:val="28"/>
          <w:szCs w:val="28"/>
        </w:rPr>
        <w:t xml:space="preserve">им состоянием может назначаться </w:t>
      </w:r>
      <w:r w:rsidRPr="00C70602">
        <w:rPr>
          <w:rFonts w:ascii="Times New Roman" w:hAnsi="Times New Roman" w:cs="Times New Roman"/>
          <w:sz w:val="28"/>
          <w:szCs w:val="28"/>
        </w:rPr>
        <w:t>поддерживающая терапия (лечение, помогающее предот</w:t>
      </w:r>
      <w:r w:rsidR="000F312B">
        <w:rPr>
          <w:rFonts w:ascii="Times New Roman" w:hAnsi="Times New Roman" w:cs="Times New Roman"/>
          <w:sz w:val="28"/>
          <w:szCs w:val="28"/>
        </w:rPr>
        <w:t xml:space="preserve">вратить повторное возникновение </w:t>
      </w:r>
      <w:r w:rsidRPr="00C70602">
        <w:rPr>
          <w:rFonts w:ascii="Times New Roman" w:hAnsi="Times New Roman" w:cs="Times New Roman"/>
          <w:sz w:val="28"/>
          <w:szCs w:val="28"/>
        </w:rPr>
        <w:t>рака) с помощью химиотерапевтического препарата п</w:t>
      </w:r>
      <w:r w:rsidR="000F312B">
        <w:rPr>
          <w:rFonts w:ascii="Times New Roman" w:hAnsi="Times New Roman" w:cs="Times New Roman"/>
          <w:sz w:val="28"/>
          <w:szCs w:val="28"/>
        </w:rPr>
        <w:t xml:space="preserve">од названием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пеметрексед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C70602">
        <w:rPr>
          <w:rFonts w:ascii="Times New Roman" w:hAnsi="Times New Roman" w:cs="Times New Roman"/>
          <w:sz w:val="28"/>
          <w:szCs w:val="28"/>
        </w:rPr>
        <w:t xml:space="preserve">поддерживающая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r w:rsidR="000F312B">
        <w:rPr>
          <w:rFonts w:ascii="Times New Roman" w:hAnsi="Times New Roman" w:cs="Times New Roman"/>
          <w:sz w:val="28"/>
          <w:szCs w:val="28"/>
        </w:rPr>
        <w:t xml:space="preserve">может быть назначена в качестве </w:t>
      </w:r>
      <w:r w:rsidRPr="00C70602">
        <w:rPr>
          <w:rFonts w:ascii="Times New Roman" w:hAnsi="Times New Roman" w:cs="Times New Roman"/>
          <w:sz w:val="28"/>
          <w:szCs w:val="28"/>
        </w:rPr>
        <w:t>поддерживающей терапии.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- В случае возвращения рака (рецидив или прогрессирование)</w:t>
      </w:r>
      <w:r w:rsidR="000F312B">
        <w:rPr>
          <w:rFonts w:ascii="Times New Roman" w:hAnsi="Times New Roman" w:cs="Times New Roman"/>
          <w:sz w:val="28"/>
          <w:szCs w:val="28"/>
        </w:rPr>
        <w:t xml:space="preserve">, может быть предложено лечение </w:t>
      </w:r>
      <w:r w:rsidRPr="00C70602">
        <w:rPr>
          <w:rFonts w:ascii="Times New Roman" w:hAnsi="Times New Roman" w:cs="Times New Roman"/>
          <w:sz w:val="28"/>
          <w:szCs w:val="28"/>
        </w:rPr>
        <w:t>второй и третьей линиях. Подходящие методы лечения второй и третьей линиях зависят от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того, какая терапия проводилась в первой линии, каков был</w:t>
      </w:r>
      <w:r w:rsidR="000F312B">
        <w:rPr>
          <w:rFonts w:ascii="Times New Roman" w:hAnsi="Times New Roman" w:cs="Times New Roman"/>
          <w:sz w:val="28"/>
          <w:szCs w:val="28"/>
        </w:rPr>
        <w:t xml:space="preserve"> её эффект и как длительно этот </w:t>
      </w:r>
      <w:r w:rsidRPr="00C70602">
        <w:rPr>
          <w:rFonts w:ascii="Times New Roman" w:hAnsi="Times New Roman" w:cs="Times New Roman"/>
          <w:sz w:val="28"/>
          <w:szCs w:val="28"/>
        </w:rPr>
        <w:t>эффект сохранялся, а также от общего состояния пациента. Ва</w:t>
      </w:r>
      <w:r w:rsidR="000F312B">
        <w:rPr>
          <w:rFonts w:ascii="Times New Roman" w:hAnsi="Times New Roman" w:cs="Times New Roman"/>
          <w:sz w:val="28"/>
          <w:szCs w:val="28"/>
        </w:rPr>
        <w:t xml:space="preserve">рианты лечения включают в себя: </w:t>
      </w:r>
      <w:r w:rsidRPr="00C70602">
        <w:rPr>
          <w:rFonts w:ascii="Times New Roman" w:hAnsi="Times New Roman" w:cs="Times New Roman"/>
          <w:sz w:val="28"/>
          <w:szCs w:val="28"/>
        </w:rPr>
        <w:t>химиотерапию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пеметрексед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доцетаксел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), иммуноте</w:t>
      </w:r>
      <w:r w:rsidR="000F312B">
        <w:rPr>
          <w:rFonts w:ascii="Times New Roman" w:hAnsi="Times New Roman" w:cs="Times New Roman"/>
          <w:sz w:val="28"/>
          <w:szCs w:val="28"/>
        </w:rPr>
        <w:t>рапию (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ниволумаб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пембролизумаб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</w:t>
      </w:r>
      <w:r w:rsidRPr="00C7060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атезолизумаб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), если они не назначались в первой</w:t>
      </w:r>
      <w:r w:rsidR="000F312B">
        <w:rPr>
          <w:rFonts w:ascii="Times New Roman" w:hAnsi="Times New Roman" w:cs="Times New Roman"/>
          <w:sz w:val="28"/>
          <w:szCs w:val="28"/>
        </w:rPr>
        <w:t xml:space="preserve"> линии,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антиангиогенную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терапию </w:t>
      </w:r>
      <w:r w:rsidRPr="00C706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нинтеданиб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рамуцирумаб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в комбинации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до</w:t>
      </w:r>
      <w:r w:rsidR="000F312B">
        <w:rPr>
          <w:rFonts w:ascii="Times New Roman" w:hAnsi="Times New Roman" w:cs="Times New Roman"/>
          <w:sz w:val="28"/>
          <w:szCs w:val="28"/>
        </w:rPr>
        <w:t>цетакселом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таргетную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терапию </w:t>
      </w:r>
      <w:r w:rsidRPr="00C706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афатиниб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</w:t>
      </w:r>
      <w:r w:rsidR="000F312B">
        <w:rPr>
          <w:rFonts w:ascii="Times New Roman" w:hAnsi="Times New Roman" w:cs="Times New Roman"/>
          <w:sz w:val="28"/>
          <w:szCs w:val="28"/>
        </w:rPr>
        <w:t>иниб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дабрафениб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в комбинации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траметинибом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кризотиниб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серитиниб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алектиниб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) для пациентов с молекулярными </w:t>
      </w:r>
      <w:r w:rsidRPr="00C70602">
        <w:rPr>
          <w:rFonts w:ascii="Times New Roman" w:hAnsi="Times New Roman" w:cs="Times New Roman"/>
          <w:sz w:val="28"/>
          <w:szCs w:val="28"/>
        </w:rPr>
        <w:t>повреждениями.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~ Пациенты, опухоли которых имеют мутации EGFR и которы</w:t>
      </w:r>
      <w:r w:rsidR="000F312B">
        <w:rPr>
          <w:rFonts w:ascii="Times New Roman" w:hAnsi="Times New Roman" w:cs="Times New Roman"/>
          <w:sz w:val="28"/>
          <w:szCs w:val="28"/>
        </w:rPr>
        <w:t xml:space="preserve">е получили лечение первой линии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афатинибом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, а при прогре</w:t>
      </w:r>
      <w:r w:rsidR="000F312B">
        <w:rPr>
          <w:rFonts w:ascii="Times New Roman" w:hAnsi="Times New Roman" w:cs="Times New Roman"/>
          <w:sz w:val="28"/>
          <w:szCs w:val="28"/>
        </w:rPr>
        <w:t xml:space="preserve">ссировании имеют подтвержденную </w:t>
      </w:r>
      <w:r w:rsidRPr="00C70602">
        <w:rPr>
          <w:rFonts w:ascii="Times New Roman" w:hAnsi="Times New Roman" w:cs="Times New Roman"/>
          <w:sz w:val="28"/>
          <w:szCs w:val="28"/>
        </w:rPr>
        <w:t xml:space="preserve">мутацию EGFR T790M, могут впоследствии продолжить терапию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~ Пациенты с подтвержденной мутацией BRAF, получавшие лечени</w:t>
      </w:r>
      <w:r w:rsidR="000F312B">
        <w:rPr>
          <w:rFonts w:ascii="Times New Roman" w:hAnsi="Times New Roman" w:cs="Times New Roman"/>
          <w:sz w:val="28"/>
          <w:szCs w:val="28"/>
        </w:rPr>
        <w:t xml:space="preserve">е в первой линии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дабрафенибом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траметинибом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могут получать во второй линии химиотерапию на основе платины.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~ Пациенты, у которых опухоли имеют ALK-перестройки и которые </w:t>
      </w:r>
      <w:r w:rsidR="000F312B">
        <w:rPr>
          <w:rFonts w:ascii="Times New Roman" w:hAnsi="Times New Roman" w:cs="Times New Roman"/>
          <w:sz w:val="28"/>
          <w:szCs w:val="28"/>
        </w:rPr>
        <w:t xml:space="preserve">получали лечение в первой линии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кризотинибом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могут лечиться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церитинибом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алектинибом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Последующее наблюдение после лечения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• Пациенты, закончившие лечение НМРЛ I-III </w:t>
      </w:r>
      <w:proofErr w:type="gramStart"/>
      <w:r w:rsidRPr="00C70602">
        <w:rPr>
          <w:rFonts w:ascii="Times New Roman" w:hAnsi="Times New Roman" w:cs="Times New Roman"/>
          <w:sz w:val="28"/>
          <w:szCs w:val="28"/>
        </w:rPr>
        <w:t>стадии</w:t>
      </w:r>
      <w:proofErr w:type="gramEnd"/>
      <w:r w:rsidRPr="00C70602">
        <w:rPr>
          <w:rFonts w:ascii="Times New Roman" w:hAnsi="Times New Roman" w:cs="Times New Roman"/>
          <w:sz w:val="28"/>
          <w:szCs w:val="28"/>
        </w:rPr>
        <w:t xml:space="preserve"> обычно наблюдаются клинически и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рентгенологически каждые 6 месяцев в течение 2 лет, а затем ежегодно.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lastRenderedPageBreak/>
        <w:t>• Пациенты, которые закончили лечение по поводу мет</w:t>
      </w:r>
      <w:r w:rsidR="000F312B">
        <w:rPr>
          <w:rFonts w:ascii="Times New Roman" w:hAnsi="Times New Roman" w:cs="Times New Roman"/>
          <w:sz w:val="28"/>
          <w:szCs w:val="28"/>
        </w:rPr>
        <w:t xml:space="preserve">астатической формы НМРЛ, обычно </w:t>
      </w:r>
      <w:r w:rsidRPr="00C70602">
        <w:rPr>
          <w:rFonts w:ascii="Times New Roman" w:hAnsi="Times New Roman" w:cs="Times New Roman"/>
          <w:sz w:val="28"/>
          <w:szCs w:val="28"/>
        </w:rPr>
        <w:t xml:space="preserve">наблюдаются рентгенологически каждые 6-12 недель </w:t>
      </w:r>
      <w:r w:rsidR="000F312B">
        <w:rPr>
          <w:rFonts w:ascii="Times New Roman" w:hAnsi="Times New Roman" w:cs="Times New Roman"/>
          <w:sz w:val="28"/>
          <w:szCs w:val="28"/>
        </w:rPr>
        <w:t xml:space="preserve">(в зависимости от необходимости </w:t>
      </w:r>
      <w:r w:rsidRPr="00C70602">
        <w:rPr>
          <w:rFonts w:ascii="Times New Roman" w:hAnsi="Times New Roman" w:cs="Times New Roman"/>
          <w:sz w:val="28"/>
          <w:szCs w:val="28"/>
        </w:rPr>
        <w:t xml:space="preserve">дальнейшего лечения), так чтобы вторая линия </w:t>
      </w:r>
      <w:r w:rsidR="000F312B">
        <w:rPr>
          <w:rFonts w:ascii="Times New Roman" w:hAnsi="Times New Roman" w:cs="Times New Roman"/>
          <w:sz w:val="28"/>
          <w:szCs w:val="28"/>
        </w:rPr>
        <w:t xml:space="preserve">терапии могла быть начата, если </w:t>
      </w:r>
      <w:r w:rsidRPr="00C70602">
        <w:rPr>
          <w:rFonts w:ascii="Times New Roman" w:hAnsi="Times New Roman" w:cs="Times New Roman"/>
          <w:sz w:val="28"/>
          <w:szCs w:val="28"/>
        </w:rPr>
        <w:t>необходимо.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После достижения максимального эффекта (полный регресс, част</w:t>
      </w:r>
      <w:r w:rsidR="000F312B">
        <w:rPr>
          <w:rFonts w:ascii="Times New Roman" w:hAnsi="Times New Roman" w:cs="Times New Roman"/>
          <w:sz w:val="28"/>
          <w:szCs w:val="28"/>
        </w:rPr>
        <w:t xml:space="preserve">ичный регресс или стабилизация) </w:t>
      </w:r>
      <w:r w:rsidRPr="00C70602">
        <w:rPr>
          <w:rFonts w:ascii="Times New Roman" w:hAnsi="Times New Roman" w:cs="Times New Roman"/>
          <w:sz w:val="28"/>
          <w:szCs w:val="28"/>
        </w:rPr>
        <w:t>наблюдение осуществляется каждые 3-4 мес. в течение первых 1-2</w:t>
      </w:r>
      <w:r w:rsidR="000F312B">
        <w:rPr>
          <w:rFonts w:ascii="Times New Roman" w:hAnsi="Times New Roman" w:cs="Times New Roman"/>
          <w:sz w:val="28"/>
          <w:szCs w:val="28"/>
        </w:rPr>
        <w:t xml:space="preserve"> лет, каждые 6 мес. – в течение </w:t>
      </w:r>
      <w:r w:rsidRPr="00C70602">
        <w:rPr>
          <w:rFonts w:ascii="Times New Roman" w:hAnsi="Times New Roman" w:cs="Times New Roman"/>
          <w:sz w:val="28"/>
          <w:szCs w:val="28"/>
        </w:rPr>
        <w:t>последующих 3-5 лет, далее – ежегодно.</w:t>
      </w:r>
    </w:p>
    <w:p w:rsidR="00C70602" w:rsidRDefault="00C70602" w:rsidP="00C70602"/>
    <w:p w:rsidR="00C70602" w:rsidRDefault="00C70602" w:rsidP="00C70602">
      <w:r>
        <w:rPr>
          <w:noProof/>
          <w:lang w:eastAsia="ru-RU"/>
        </w:rPr>
        <w:lastRenderedPageBreak/>
        <w:drawing>
          <wp:inline distT="0" distB="0" distL="0" distR="0">
            <wp:extent cx="5890340" cy="7905750"/>
            <wp:effectExtent l="0" t="0" r="0" b="0"/>
            <wp:docPr id="1" name="Рисунок 1" descr="C:\Users\Anastasia\YandexDisk\Скриншоты\2022-02-16_22-2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YandexDisk\Скриншоты\2022-02-16_22-27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86" cy="791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02" w:rsidRDefault="00C70602" w:rsidP="00C70602"/>
    <w:p w:rsidR="00C70602" w:rsidRDefault="00C70602" w:rsidP="00C70602"/>
    <w:p w:rsidR="00C70602" w:rsidRDefault="00C70602" w:rsidP="00C70602"/>
    <w:p w:rsidR="00C70602" w:rsidRDefault="00C70602" w:rsidP="00C70602"/>
    <w:p w:rsidR="00C70602" w:rsidRPr="00C70602" w:rsidRDefault="000F312B" w:rsidP="00C7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Хирургическое лечение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Хирургическое лечение по-прежнему остается основным методом терапии пациентов с локализованным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немелкоклеточным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раком легкого (НМРЛ), на долю которого приходится около 25–30% перв</w:t>
      </w:r>
      <w:r w:rsidR="000F312B">
        <w:rPr>
          <w:rFonts w:ascii="Times New Roman" w:hAnsi="Times New Roman" w:cs="Times New Roman"/>
          <w:sz w:val="28"/>
          <w:szCs w:val="28"/>
        </w:rPr>
        <w:t>ично выявленных случаев НМРЛ</w:t>
      </w:r>
      <w:r w:rsidRPr="00C70602">
        <w:rPr>
          <w:rFonts w:ascii="Times New Roman" w:hAnsi="Times New Roman" w:cs="Times New Roman"/>
          <w:sz w:val="28"/>
          <w:szCs w:val="28"/>
        </w:rPr>
        <w:t xml:space="preserve">. Таким образом, около 1/3 больных НМРЛ нуждаются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лечении после радикального хирургического этапа. На данный момент единственным видом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является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(ПХТ), не считая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лучевого лечения у пациентов с IIIA стадией за счет N2-статуса или R1-резекции. Регистрационным исследованием, показавшим преимущество в общей (ОВ) 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безрецидивной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выживаемости (БРВ) при использовании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платиносодержащей химиотерапии после радикального хирургического лечения, стало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Adjuvant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Lung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(IALT). Результаты данного исследования опубликованы в 2004 г., с тех пор и по настоящее время стандарт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лечения НМРЛ практически не изменился [2]. Другое крупное исследование LACE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Lung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Adjuvant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Cisplatin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пролило свет на преимущества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химиотерапии в зависимости от стадии заболевания. Продемонстрировано, что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 не увеличивает ОВ при IA стадии, уменьшает риск смерти в течение 5 лет для I стадии на 1,8%, для II – на 11,6% и III – на 14,7%. Схожие преимущества получены для БРВ – преимущество в 9,2% дл</w:t>
      </w:r>
      <w:r>
        <w:rPr>
          <w:rFonts w:ascii="Times New Roman" w:hAnsi="Times New Roman" w:cs="Times New Roman"/>
          <w:sz w:val="28"/>
          <w:szCs w:val="28"/>
        </w:rPr>
        <w:t>я 5-летнего периода</w:t>
      </w:r>
      <w:r w:rsidRPr="00C70602">
        <w:rPr>
          <w:rFonts w:ascii="Times New Roman" w:hAnsi="Times New Roman" w:cs="Times New Roman"/>
          <w:sz w:val="28"/>
          <w:szCs w:val="28"/>
        </w:rPr>
        <w:t>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Однако в связи с бурным развитием молекулярной онкологии и генетики и пришедшим пониманием того, что НМРЛ является чрезвычайно гетерогенной группой заболеваний, в настоящий момент активно изучается применение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у пациентов, имеющих драйверные мутации, такие как мутация в гене EGFR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ALK. Промежуточные результаты, которые показывают данные исследования, превосходят аналогичные для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химиотерапии. Это дает надежду на то, что вскоре понятие «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химиотерапия» перестанет ассоциироваться со всеми пациентами, перенесшими радикальное лечение, а будет использоваться в отношении группы пациентов, не имеющих мишеней для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Эволюция изучения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Одним из первых исследований, поставивших перед собой цель изучить преимущество от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режиме, было SELECT (фаза II испытания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у пациентов с радикально прооперированным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НМРЛ). Данное исследование включало пациентов с IA–IIIA стадиями НМРЛ (TNM7), подвергнутых радикальному хирургическому лечению и 4 курсам стандартной платиносодержащей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с лучевой терапией и без. Такие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 xml:space="preserve">пациенты (n=100) получали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(150 мг 2 раза в день) в течение 2 лет после окончания стандартной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ПХТ. Исследование преследовало цель показать преимущество в БРВ при применении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по сравнению с историческим контролем. Двухлетняя БРВ составила 88% (96% – I, 78% – II и 91% – III стадии), что, несомненно, превышало аналогичные результаты того же IALT, который показал 2-летнюю БРВ в 61%. Медиана ОВ и БРВ не достигнуты. Пятилетняя ОВ составила 86%. Из 100 пациентов только у 4 (4%) отмечен рецидив заболевания в течение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терапии. У 40 пациентов рецидив зафиксирован после окончания лечения. Медиана времени до рецидива составила 25 мес. Важно отметить, что 24 пациентам с рецидивом заболевания выполнена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ребиопсия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которая показала наличие мутации вторичной резистентности T790M только в одном случае (4%). Таким образом, практически все пациенты продолжили принимать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 медианой БРВ в 13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что является идентичным показателем для приема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1-ю линию тера</w:t>
      </w:r>
      <w:r w:rsidR="000F312B">
        <w:rPr>
          <w:rFonts w:ascii="Times New Roman" w:hAnsi="Times New Roman" w:cs="Times New Roman"/>
          <w:sz w:val="28"/>
          <w:szCs w:val="28"/>
        </w:rPr>
        <w:t>пии (OPTIMAL, CTONG-0802)</w:t>
      </w:r>
      <w:r w:rsidRPr="00C70602">
        <w:rPr>
          <w:rFonts w:ascii="Times New Roman" w:hAnsi="Times New Roman" w:cs="Times New Roman"/>
          <w:sz w:val="28"/>
          <w:szCs w:val="28"/>
        </w:rPr>
        <w:t xml:space="preserve">. Результаты данного исследования показали, что применение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режиме может дать преимущество в выживаемости по сравнению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ПХТ. Кроме того, продемонстрировано, что мутации вторичной резистентности отсутствовали в подавляющем большинстве случаев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терапии. Данный факт говорит о том, что применение ингибиторов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тирозинкиназы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(ИТК) I поколения в адъюванте не уменьшает количество доступных опций лечения для пациентов в дальнейшем.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Практически одновременно с SELECT начался набор в другое исследование, также посвященное эффективности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для радикально прооперированных пациентов IB–IIIA стадии, – RADIANT. Данное исследование включало 973 пациента, разделенных (2:1) на 2 группы: группа,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получающая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2 года (150 мг 2 раза в день), и группа плацебо.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химиотерапия в указанном исследовании не проводилась. Критерием включения пациента в группу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являлось не наличие мутации в гене EGFR, а повышенная экспрессия и амплификация последнего. Возможно, именно это и оказало влияние на результаты – отсутствие статистически значимой разницы в медиане БРВ между группами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плацебо – 50,5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</w:t>
      </w:r>
      <w:r w:rsidR="000F312B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и 48,2 </w:t>
      </w:r>
      <w:proofErr w:type="spellStart"/>
      <w:r w:rsidR="000F312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0F312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70602">
        <w:rPr>
          <w:rFonts w:ascii="Times New Roman" w:hAnsi="Times New Roman" w:cs="Times New Roman"/>
          <w:sz w:val="28"/>
          <w:szCs w:val="28"/>
        </w:rPr>
        <w:t xml:space="preserve">. Сам по себе феномен повышенной экспрессии и амплификации гена EGFR не является критерием наличия мутации в данном гене и эффективности ингибиторов EGFR у таких пациентов [7, 8]. Косвенно это подтвердили и результаты подгруппового анализа самого RADIANT –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подгруппе разница медианы БРВ между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плацебо составила 46,4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28,5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602">
        <w:rPr>
          <w:rFonts w:ascii="Times New Roman" w:hAnsi="Times New Roman" w:cs="Times New Roman"/>
          <w:sz w:val="28"/>
          <w:szCs w:val="28"/>
        </w:rPr>
        <w:t xml:space="preserve">Таким образом, RADIANT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 xml:space="preserve">продвинулся на один шаг дальше, показав преимущество от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пациентов в условиях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рандомизированного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двойного слепого плацебо-контролируемого исследования.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Следующей ступенью изучения эффективности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стало исследование ­ADJUVANT/CTONG1104, стартовавшее в 2011 г., которое призвано сравнить непосредственную выгоду от назначения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со стандартной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цисплатин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винорельбин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4 курса). В исследование включены 222 пациента с II–IIIA стадиями, перенесшие радикальное хирургическое лечение и несущие мутацию гена EGFR (19 и 21-й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экзоны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). Рандомизация – 1:1 в группу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(24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и ПХТ (4 курса). Результаты исследования показали, что медиана БРВ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на 10,7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превышала таковую в группе ПХТ – 28,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Помимо увеличения медианы БРВ назначение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ассоциировалось с меньшим количеством и меньшей выраженностью нежелательных явлений по сравнению с группой стандартной ПХТ.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коррекция дозировки потребовалась 11% пациентов по сравнению с 33% в группе ПХТ. Прекращение лечения в связи с непереносимой токсичностью отмечалось в 3%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и в 6% случаев в группе ПХТ [10].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Результаты перечисленных исследований продемонстрировали перспективы, которые может дать назначение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для больных с НМРЛ. Это стало фундаментом для дальнейшего более широкого изучения такой опции лечения. В 2014 г. стартовало исследование ALCHEMIST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Adjuvant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Lung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Enrichment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Marker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Sequencing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– широкомасштабный проект по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полногеномному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экзомному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секвенированию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для пациентов с IB–IIIA стадией НМРЛ, перенесших радикальное хирургическое лечение. При наличии мутаций гена EGFR 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гена ALK пациенты будут включены в одну из 2 групп: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2 года/плацебо 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кризотинибом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2 года/плацебо соответственно. В случае рецидива заболевания планируется выполнять биопсию опухоли для определения характеристики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клональной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эволюции опухоли. Немного позже в данное исследование добавлен еще один «рукав» –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иммунотерапия для пациентов с отсутствием драйверных мутаций –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ниволумаб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сравнении со </w:t>
      </w:r>
      <w:r>
        <w:rPr>
          <w:rFonts w:ascii="Times New Roman" w:hAnsi="Times New Roman" w:cs="Times New Roman"/>
          <w:sz w:val="28"/>
          <w:szCs w:val="28"/>
        </w:rPr>
        <w:t xml:space="preserve">стандартной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ПХТ</w:t>
      </w:r>
      <w:r w:rsidRPr="00C70602">
        <w:rPr>
          <w:rFonts w:ascii="Times New Roman" w:hAnsi="Times New Roman" w:cs="Times New Roman"/>
          <w:sz w:val="28"/>
          <w:szCs w:val="28"/>
        </w:rPr>
        <w:t>. Результаты данного исследования ожидаются в начале 2021 г.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Успехи применения ингибиторов EGFR I поколения показали эффективность данной стратегии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EGFR-позитивного НМРЛ, однако в существующей клинической практике ингибиторы EGFR III поколения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показывают свое преимущество перед ИТК I поколения, что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 xml:space="preserve">доказано в исследовании FLAURA. Это исследование продемонстрировало преимущество в ОВ при использовании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непредлеченых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пациентов с распространенным НМРЛ, несущим мутации в 19 и 21-м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экзонах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гена EGFR по сравнению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гефитинибом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эрлотинибом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. Медиана ОВ составила 38,6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31,8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группе ИТК I поколения. Кроме того, нежелательные явления 3-й степени и выше в группе ИТК III поколения отмечены в 42% случаев против 47% в группе сравнения [12]. Исследование AURA показало, что лечение пациентов с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НМРЛ, которые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спрогрессировали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на ИТК I–II поколения и имели мутацию вторичной резистентности T790M, при помощи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(ИТК III поколения) имело преимущество по сравнению с химиотерапией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пеметрексед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карбоплатин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). БРВ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составила 8,5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а в группе химиотерапии – 4,2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кроме того, токсичность 3-й степени и выше в группе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составила 23%, тогда как </w:t>
      </w:r>
      <w:r>
        <w:rPr>
          <w:rFonts w:ascii="Times New Roman" w:hAnsi="Times New Roman" w:cs="Times New Roman"/>
          <w:sz w:val="28"/>
          <w:szCs w:val="28"/>
        </w:rPr>
        <w:t>в группе химиотерапии – 47%</w:t>
      </w:r>
      <w:r w:rsidRPr="00C70602">
        <w:rPr>
          <w:rFonts w:ascii="Times New Roman" w:hAnsi="Times New Roman" w:cs="Times New Roman"/>
          <w:sz w:val="28"/>
          <w:szCs w:val="28"/>
        </w:rPr>
        <w:t>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FLAURA и AURA стали подспорьем для продолжения исследования ИТК III поколения уже в рамках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лечения. В 2015 г. стартовало исследование ­ADAURA –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против плацебо в адъюванте у пациентов IB–IIIA стадии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(ex19del/L858R) НМРЛ после радикального хирургического лечения (проведение ­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 не являлось критерием исключения). Цели исследования – определение 2-, 3-, 5-летней БРВ и 5-летней ОВ в группе пациентов,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олучавших ИТК III поколения</w:t>
      </w:r>
      <w:r w:rsidRPr="00C70602">
        <w:rPr>
          <w:rFonts w:ascii="Times New Roman" w:hAnsi="Times New Roman" w:cs="Times New Roman"/>
          <w:sz w:val="28"/>
          <w:szCs w:val="28"/>
        </w:rPr>
        <w:t xml:space="preserve">. Первые результаты данного исследования опубликованы в июне 2020 г., в них показано, что 2-летняя БРВ пациентов с II–IIIA стадиями НМРЛ при использовании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осимертиниба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режиме составила 90% против 44% в группе плацебо. Выигрыш в 2-летней БРВ от использования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в группе, включающей в себя IB стадию</w:t>
      </w:r>
      <w:r>
        <w:rPr>
          <w:rFonts w:ascii="Times New Roman" w:hAnsi="Times New Roman" w:cs="Times New Roman"/>
          <w:sz w:val="28"/>
          <w:szCs w:val="28"/>
        </w:rPr>
        <w:t xml:space="preserve">, составил 36% (89% </w:t>
      </w:r>
      <w:proofErr w:type="spellStart"/>
      <w:r>
        <w:rPr>
          <w:rFonts w:ascii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53%)</w:t>
      </w:r>
      <w:r w:rsidRPr="00C70602">
        <w:rPr>
          <w:rFonts w:ascii="Times New Roman" w:hAnsi="Times New Roman" w:cs="Times New Roman"/>
          <w:sz w:val="28"/>
          <w:szCs w:val="28"/>
        </w:rPr>
        <w:t xml:space="preserve">. Таким образом, данное исследование продемонстрировало существенный выигрыш от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ИТК III поколения после радикального хирургического лечения ±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 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EGFRm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>-пациентов, показав себя реальной опцией лечения лиц с НМРЛ.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Сама по себе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преследует цель полной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минимальной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резидуальной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болезни (МРБ), которая представляет собой присутствие в организме изолированных или циркулирующих опухолевых клеток, которые не могут быть зафиксированы при помощи рутинно применяющи</w:t>
      </w:r>
      <w:r>
        <w:rPr>
          <w:rFonts w:ascii="Times New Roman" w:hAnsi="Times New Roman" w:cs="Times New Roman"/>
          <w:sz w:val="28"/>
          <w:szCs w:val="28"/>
        </w:rPr>
        <w:t>хся диагностических методов</w:t>
      </w:r>
      <w:r w:rsidRPr="00C70602">
        <w:rPr>
          <w:rFonts w:ascii="Times New Roman" w:hAnsi="Times New Roman" w:cs="Times New Roman"/>
          <w:sz w:val="28"/>
          <w:szCs w:val="28"/>
        </w:rPr>
        <w:t>. На данный момент самым перспективным методом определения МРБ является жидкостная биопсия с определением присутствия циркулирующей опухолевой ДНК (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) в плазме крови у радикально пролеченных пациентов. Данный метод основан на том, что опухолевые клетки при некрозе,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апоптозе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>целенаправленно выделяют в кровоток свою ДНК, которая, имея период полураспада от 16 мин до 2,5 ч, может отражать наличие этих самых опухолевых клеток в о</w:t>
      </w:r>
      <w:r>
        <w:rPr>
          <w:rFonts w:ascii="Times New Roman" w:hAnsi="Times New Roman" w:cs="Times New Roman"/>
          <w:sz w:val="28"/>
          <w:szCs w:val="28"/>
        </w:rPr>
        <w:t xml:space="preserve">рганизме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. Тем самым, определяя уровень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после радикального оперативного лечения, теоретически можно высказываться о наличии или отсутствии МРБ и, соответственно, в перспективе выделить на основании этого группы больных, которые получат преимущество от про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C70602">
        <w:rPr>
          <w:rFonts w:ascii="Times New Roman" w:hAnsi="Times New Roman" w:cs="Times New Roman"/>
          <w:sz w:val="28"/>
          <w:szCs w:val="28"/>
        </w:rPr>
        <w:t xml:space="preserve">. Исследования, подтверждающие данную теорию, касались изучения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при раке молочной железы, раке яичников, но наиболее показательные касались назначения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после радикально пролеченного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рака. БРВ у пациентов, радикально прооперированных по поводу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рака II стадии, не получавших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адъювантную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ПХТ, у которых отсутствовала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после операции, составила 90%, а для точно такой же группы пациентов, но с определяемо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операции – 0%</w:t>
      </w:r>
      <w:r w:rsidRPr="00C70602">
        <w:rPr>
          <w:rFonts w:ascii="Times New Roman" w:hAnsi="Times New Roman" w:cs="Times New Roman"/>
          <w:sz w:val="28"/>
          <w:szCs w:val="28"/>
        </w:rPr>
        <w:t xml:space="preserve">. Результаты данного исследования показывают, что различный статус по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после радикального лечения оказывает сильное влияние на вероятность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может влиять на решение о назначении/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неназначении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лечения. Что же касается рака легкого – исследование DYNAMIC продемонстрировало, что БРВ в группе пациентов с НМРЛ IB–IIIA стадий, перенесших R0-оперативное лечение, также сильно различалась в зависимости от послеоперационного статуса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. Медиана БРВ составила 23,1 дня 53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зависимости от наличия или отсутствия определяемой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плазме после операции. Медиана ОВ составила 35,3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60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соответственно при наличии и отсутствии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послеоперационной плазме крови. Пациенты с позитивным статусом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, которые получили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адъювантную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терапию, имели БРВ 22,4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против 9,25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– для пациентов с положительным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статусом и не получивших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адъювантное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лечение. </w:t>
      </w:r>
      <w:r w:rsidRPr="00C70602">
        <w:rPr>
          <w:rFonts w:ascii="Times New Roman" w:hAnsi="Times New Roman" w:cs="Times New Roman"/>
          <w:sz w:val="28"/>
          <w:szCs w:val="28"/>
        </w:rPr>
        <w:t xml:space="preserve">Кроме того, DYNAMIC показало, что наиболее корректным с точки зрения адекватного отражения прогноза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является определение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период времени от 3 дней до 1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после операции. Таким образом, уровень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плазме крови у радикально пролеченных пациентов с НМРЛ также значительно влияет на прогноз заболевания и в дальнейшем может стать одной из важных составных частей принятия решения о послеоперационной тактике ведения пациентов с НРМЛ.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Отечественное исследование LUCARD, стартовавшее в феврале 2020 г., призвано более точно ответить на вопрос о влиянии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динамике (до операции, на 7–8-е сутки после операции и каждые 3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течение 1 года после операции) на вероятность рецидива у пациентов, радикально пролеченных по поводу НМРЛ всех операбельных стадий. В исследование планируется включить более 200 человек со сроком </w:t>
      </w:r>
      <w:r w:rsidRPr="00C70602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3 года. Это позволит с достаточной достоверностью ответить на вопрос о влиянии на прогноз заболевания изменения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плазме крови в различные временные промежутки. Кроме того, больные будут разделены на группы в зависимости от наличия или отсутствия проведенного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лечения, что также покажет взаимосвязь между динамикой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и преимуществом, полученным пациентами от проведения той или иной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в плазме крови пациентов с НМРЛ в перспективе позволит выделить группу пациентов, которые получат наибольшую выгоду от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терапии. Кроме того, определение уровня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позволит определить рациональную длительность проведения терапии, вовремя выявлять мутации вторичной резистентности и изменять тактику лечения.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На данный момент во всех исследованиях, касающихся применения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терапии, длительность последней составляла 2 года. Не совсем понятно, по каким критериям авторы данных исследований выбрали </w:t>
      </w:r>
      <w:r>
        <w:rPr>
          <w:rFonts w:ascii="Times New Roman" w:hAnsi="Times New Roman" w:cs="Times New Roman"/>
          <w:sz w:val="28"/>
          <w:szCs w:val="28"/>
        </w:rPr>
        <w:t xml:space="preserve">именно такой промежуток времени. </w:t>
      </w:r>
      <w:r w:rsidRPr="00C70602">
        <w:rPr>
          <w:rFonts w:ascii="Times New Roman" w:hAnsi="Times New Roman" w:cs="Times New Roman"/>
          <w:sz w:val="28"/>
          <w:szCs w:val="28"/>
        </w:rPr>
        <w:t xml:space="preserve">Вполне вероятно, что в зависимости от наличия или отсутствия мутации EGFR и других мутаций в плазме крови в течение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лечения сроки терапии могут меняться как в большую, так и в меньшую сторону. К сожалению, на данный момент нет крупных исследований, по результатам которых можно было бы судить о возможности уменьшения или увеличения длительности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в зависимости от статуса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цоДНК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. Выявление мутаций вторичной резистентности при динамически проводимой жидкостной биопсии </w:t>
      </w:r>
      <w:proofErr w:type="gramStart"/>
      <w:r w:rsidRPr="00C7060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терапии может предвосхитить выявление рецидива при использовании стандартных методов визуализации, хотя по результатам исследования SELECT это редкое явление</w:t>
      </w:r>
    </w:p>
    <w:p w:rsidR="00C70602" w:rsidRP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>Заключение</w:t>
      </w:r>
    </w:p>
    <w:p w:rsidR="00C70602" w:rsidRDefault="00C70602" w:rsidP="00C70602">
      <w:pPr>
        <w:rPr>
          <w:rFonts w:ascii="Times New Roman" w:hAnsi="Times New Roman" w:cs="Times New Roman"/>
          <w:sz w:val="28"/>
          <w:szCs w:val="28"/>
        </w:rPr>
      </w:pPr>
      <w:r w:rsidRPr="00C70602">
        <w:rPr>
          <w:rFonts w:ascii="Times New Roman" w:hAnsi="Times New Roman" w:cs="Times New Roman"/>
          <w:sz w:val="28"/>
          <w:szCs w:val="28"/>
        </w:rPr>
        <w:t xml:space="preserve">Уже на данный момент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терапия прошла длинный путь от исследования применения ИТК I поколения в сравнении с историческим контролем до III фазы двойного слепого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рандомизированного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сравнения ИТК III поколения с плацебо в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адъювантном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режиме. Сам этот факт, а также результаты множества исследований говорят о несомненной перспективе данного метода лечения. Бурное развитие молекулярной генетики и все большее внимание к малоинвазивным методам определения мутационного статуса больных с НМРЛ при помощи жидкостной биопсии, а также определение признаков МРБ в дальнейшем позволят еще больше персонализировать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адъювантное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602">
        <w:rPr>
          <w:rFonts w:ascii="Times New Roman" w:hAnsi="Times New Roman" w:cs="Times New Roman"/>
          <w:sz w:val="28"/>
          <w:szCs w:val="28"/>
        </w:rPr>
        <w:t>таргетное</w:t>
      </w:r>
      <w:proofErr w:type="spellEnd"/>
      <w:r w:rsidRPr="00C70602">
        <w:rPr>
          <w:rFonts w:ascii="Times New Roman" w:hAnsi="Times New Roman" w:cs="Times New Roman"/>
          <w:sz w:val="28"/>
          <w:szCs w:val="28"/>
        </w:rPr>
        <w:t xml:space="preserve"> лечение для каждого конкретного больного.</w:t>
      </w:r>
    </w:p>
    <w:p w:rsidR="000F312B" w:rsidRDefault="000F312B" w:rsidP="00C7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использованной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0F312B" w:rsidRP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Онкология :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клинические рекомендации /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Абузарова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Г. Р. , Алексеев Б. Я. , Антипов В. А. и др. Под ред. В. И.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С. Л.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Дарьяловой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изд. ,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2009. - 928 с. (Серия "Клинические рекомендации") -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F312B">
        <w:rPr>
          <w:rFonts w:ascii="Times New Roman" w:hAnsi="Times New Roman" w:cs="Times New Roman"/>
          <w:sz w:val="28"/>
          <w:szCs w:val="28"/>
        </w:rPr>
        <w:t xml:space="preserve"> 978-5-9704-1158-2. -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312B">
        <w:rPr>
          <w:rFonts w:ascii="Times New Roman" w:hAnsi="Times New Roman" w:cs="Times New Roman"/>
          <w:sz w:val="28"/>
          <w:szCs w:val="28"/>
        </w:rPr>
        <w:t xml:space="preserve"> :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F312B">
        <w:rPr>
          <w:rFonts w:ascii="Times New Roman" w:hAnsi="Times New Roman" w:cs="Times New Roman"/>
          <w:sz w:val="28"/>
          <w:szCs w:val="28"/>
        </w:rPr>
        <w:t>://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31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12B">
        <w:rPr>
          <w:rFonts w:ascii="Times New Roman" w:hAnsi="Times New Roman" w:cs="Times New Roman"/>
          <w:sz w:val="28"/>
          <w:szCs w:val="28"/>
          <w:lang w:val="en-US"/>
        </w:rPr>
        <w:t>rosmedlib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1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>/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F312B">
        <w:rPr>
          <w:rFonts w:ascii="Times New Roman" w:hAnsi="Times New Roman" w:cs="Times New Roman"/>
          <w:sz w:val="28"/>
          <w:szCs w:val="28"/>
        </w:rPr>
        <w:t>/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RML</w:t>
      </w:r>
      <w:r w:rsidRPr="000F312B">
        <w:rPr>
          <w:rFonts w:ascii="Times New Roman" w:hAnsi="Times New Roman" w:cs="Times New Roman"/>
          <w:sz w:val="28"/>
          <w:szCs w:val="28"/>
        </w:rPr>
        <w:t>0307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312B">
        <w:rPr>
          <w:rFonts w:ascii="Times New Roman" w:hAnsi="Times New Roman" w:cs="Times New Roman"/>
          <w:sz w:val="28"/>
          <w:szCs w:val="28"/>
        </w:rPr>
        <w:t>3.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F312B">
        <w:rPr>
          <w:rFonts w:ascii="Times New Roman" w:hAnsi="Times New Roman" w:cs="Times New Roman"/>
          <w:sz w:val="28"/>
          <w:szCs w:val="28"/>
        </w:rPr>
        <w:t xml:space="preserve"> (дата обращения: 16.02.2022). - Режим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0F312B" w:rsidRPr="000F312B" w:rsidRDefault="000F312B" w:rsidP="000F31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В. И. Атлас онкологических операций / Под ред. В. И.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А. Х. Трахтенберга, А. И.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Пачеса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ГЭОТАР-Медиа, 2008. - 632 с. -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F312B">
        <w:rPr>
          <w:rFonts w:ascii="Times New Roman" w:hAnsi="Times New Roman" w:cs="Times New Roman"/>
          <w:sz w:val="28"/>
          <w:szCs w:val="28"/>
        </w:rPr>
        <w:t xml:space="preserve"> 978-5-9704-0712-7. - </w:t>
      </w:r>
      <w:proofErr w:type="gramStart"/>
      <w:r w:rsidRPr="000F31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31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312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F312B" w:rsidRPr="000F312B" w:rsidRDefault="000F312B" w:rsidP="000F31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312B">
        <w:rPr>
          <w:rFonts w:ascii="Times New Roman" w:hAnsi="Times New Roman" w:cs="Times New Roman"/>
          <w:sz w:val="28"/>
          <w:szCs w:val="28"/>
          <w:lang w:val="en-US"/>
        </w:rPr>
        <w:t xml:space="preserve">https://www.rosoncoweb.ru/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lang w:val="en-US"/>
        </w:rPr>
        <w:t>портал</w:t>
      </w:r>
      <w:proofErr w:type="spellEnd"/>
    </w:p>
    <w:p w:rsidR="000F312B" w:rsidRPr="000F312B" w:rsidRDefault="000F312B" w:rsidP="000F31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312B">
        <w:rPr>
          <w:rFonts w:ascii="Times New Roman" w:hAnsi="Times New Roman" w:cs="Times New Roman"/>
          <w:sz w:val="28"/>
          <w:szCs w:val="28"/>
        </w:rPr>
        <w:t xml:space="preserve">Состояние онкологической помощи населению России в 2019 году. Под ред. А.Д.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Каприна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Старинского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, Г.В. Петровой. 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t xml:space="preserve">М.: ФГБУ МНИОИ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Pr="000F312B">
        <w:rPr>
          <w:rFonts w:ascii="Times New Roman" w:hAnsi="Times New Roman" w:cs="Times New Roman"/>
          <w:sz w:val="28"/>
          <w:szCs w:val="28"/>
          <w:lang w:val="en-US"/>
        </w:rPr>
        <w:t xml:space="preserve">. П.А.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lang w:val="en-US"/>
        </w:rPr>
        <w:t>Герцена</w:t>
      </w:r>
      <w:proofErr w:type="spellEnd"/>
      <w:r w:rsidRPr="000F312B">
        <w:rPr>
          <w:rFonts w:ascii="Times New Roman" w:hAnsi="Times New Roman" w:cs="Times New Roman"/>
          <w:sz w:val="28"/>
          <w:szCs w:val="28"/>
          <w:lang w:val="en-US"/>
        </w:rPr>
        <w:t>, 2019; 232.</w:t>
      </w:r>
    </w:p>
    <w:p w:rsidR="000F312B" w:rsidRPr="000F312B" w:rsidRDefault="000F312B" w:rsidP="00C706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 Chevalier T. Adjuvant chemotherapy for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resectable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non-small cell lung cancer: where is it going? Ann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Oncol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2010; 21 (Suppl. 7): vii196–vii198. DOI: 10.1093/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annonc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/mdq376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Arriagada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R, Bergman B, Dunant A et al; International Adjuvant Lung Cancer Trial Collaborative Group. Cisplatin-based adjuvant chemotherapy in patients with completely resected non-small-cell lung cancer. N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 Med 2004; 350 (4): 351–60. DOI: 10.1056/NEJMoa031644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Douillard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J-Y,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Tribodet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H, Aubert D et al. Adjuvant Cisplatin and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Vinorelbine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Completely Resected Non-small Cell Lung Cancer: Subgroup Analysis of the Lung Adjuvant Cisplatin Evaluation. J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Thorac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Oncol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2010; 5 (2): 220–8. DOI: 10.1097/JTO.0b013e3181c814e7</w:t>
      </w:r>
      <w:r w:rsidRPr="000F312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Pennell NA, Neal JW,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Chaft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JE et al. SELECT: A Phase II Trial of Adjuvant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Erlotinib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Patients With Resected Epidermal Growth Factor Receptor-Mutant Non-Small-Cell Lung Cancer. </w:t>
      </w:r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</w:rPr>
        <w:t>Clin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</w:rPr>
        <w:t>Oncol</w:t>
      </w:r>
      <w:proofErr w:type="spellEnd"/>
      <w:r w:rsidRPr="000F3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2019; 37 (2): 97–104. DOI: 10.1200/JCO.18.00131</w:t>
      </w:r>
    </w:p>
    <w:p w:rsidR="000F312B" w:rsidRPr="000F312B" w:rsidRDefault="000F312B" w:rsidP="00C70602">
      <w:pPr>
        <w:rPr>
          <w:rFonts w:ascii="Times New Roman" w:hAnsi="Times New Roman" w:cs="Times New Roman"/>
          <w:sz w:val="28"/>
          <w:szCs w:val="28"/>
        </w:rPr>
      </w:pPr>
      <w:r w:rsidRPr="000F312B">
        <w:rPr>
          <w:rFonts w:ascii="Times New Roman" w:hAnsi="Times New Roman" w:cs="Times New Roman"/>
          <w:sz w:val="28"/>
          <w:szCs w:val="28"/>
        </w:rPr>
        <w:t xml:space="preserve">Лактионов К.К., Казаков А.М., Гордиев М.Г. и др.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терапия при </w:t>
      </w:r>
      <w:proofErr w:type="spellStart"/>
      <w:r w:rsidRPr="000F312B">
        <w:rPr>
          <w:rFonts w:ascii="Times New Roman" w:hAnsi="Times New Roman" w:cs="Times New Roman"/>
          <w:sz w:val="28"/>
          <w:szCs w:val="28"/>
        </w:rPr>
        <w:t>немелкоклеточном</w:t>
      </w:r>
      <w:proofErr w:type="spellEnd"/>
      <w:r w:rsidRPr="000F312B">
        <w:rPr>
          <w:rFonts w:ascii="Times New Roman" w:hAnsi="Times New Roman" w:cs="Times New Roman"/>
          <w:sz w:val="28"/>
          <w:szCs w:val="28"/>
        </w:rPr>
        <w:t xml:space="preserve"> раке легкого. Современная Онкология. 2020; 22 (2): 104–107. DOI: 10.26442/18151434.2020.2.200200</w:t>
      </w:r>
    </w:p>
    <w:sectPr w:rsidR="000F312B" w:rsidRPr="000F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11F"/>
    <w:multiLevelType w:val="multilevel"/>
    <w:tmpl w:val="EE5E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02"/>
    <w:rsid w:val="000F312B"/>
    <w:rsid w:val="006E5E52"/>
    <w:rsid w:val="00C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C8D"/>
  <w15:chartTrackingRefBased/>
  <w15:docId w15:val="{1ECCC81C-1122-4004-A13F-F92C884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2022-02-16T15:42:00Z</cp:lastPrinted>
  <dcterms:created xsi:type="dcterms:W3CDTF">2022-02-16T15:23:00Z</dcterms:created>
  <dcterms:modified xsi:type="dcterms:W3CDTF">2022-02-16T15:44:00Z</dcterms:modified>
</cp:coreProperties>
</file>