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F" w:rsidRDefault="004C5569">
      <w:pPr>
        <w:pStyle w:val="a3"/>
        <w:ind w:firstLine="708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ассоциация эндокринологов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ФЕДЕРАЛЬНЫЕ  КЛИНИЧЕСКИЕ  РЕКОМЕНДАЦИИ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ПО  ДИАГНОСТИКЕ  И  ЛЕЧЕНИЮ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НЕСАХАРНОГО ДИАБЕТА  У  ДЕТЕЙ  И  ПОДРОСТКОВ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Подготовлены: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едущим научным сотрудником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Института детской эндокринологии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ФГБУ 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Эндокринологического научного центра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.м.н.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Стребковой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Сентябрь 2013 г.</w:t>
      </w: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сокращений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НД - несахарный диабет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ННД – нефрогенный несахарный диабет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ПП – первичная полидипсия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ЦНД – центральный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несахарный диабет 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numPr>
          <w:ilvl w:val="0"/>
          <w:numId w:val="12"/>
        </w:numPr>
      </w:pPr>
      <w:r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Методы, использованные для сбора/селекции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da-DK"/>
        </w:rPr>
        <w:t>оиск в электронных базах данных.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lang w:val="da-DK"/>
        </w:rPr>
        <w:t>писание методов, использованных для сбора/селекции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Доказательной базой для рекомендаций являются публикации, вошедшие 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в Кохрайновскую библиотеку,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EMBASE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MEDLINE</w:t>
      </w:r>
      <w:r>
        <w:rPr>
          <w:rFonts w:ascii="Times New Roman" w:hAnsi="Times New Roman" w:cs="Times New Roman"/>
          <w:sz w:val="28"/>
          <w:szCs w:val="28"/>
          <w:lang w:val="da-DK"/>
        </w:rPr>
        <w:t>. Глубина поиска составила 5 лет.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Методы, использованные для оценки качества и силы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- Консенсус экспертов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- Оценка значимости в соответствии с рейтинговой схемой (табл.1).</w:t>
      </w: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Таблица 1: </w:t>
      </w:r>
      <w:r>
        <w:rPr>
          <w:rFonts w:ascii="Times New Roman" w:hAnsi="Times New Roman" w:cs="Times New Roman"/>
          <w:sz w:val="28"/>
          <w:szCs w:val="28"/>
          <w:lang w:val="da-DK"/>
        </w:rPr>
        <w:t>Рейтинговая схема для оценки силы рекомендаций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230"/>
      </w:tblGrid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Уровни доказательств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Описание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1++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1+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1-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Метаанализы, систематические, или РКИ с высоким риском систематических ошибок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2++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Высококачественные систематические обзоры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2+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Хорошо 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2-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Исследования случай-контроль или когортные исследования с высоким риском эффект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ов смешивания или систематических ошибок и средней вероятностью причинной взаимосвязи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Не аналитические исследования (например: описание случаев, серий случаев)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Мнение экспертов</w:t>
            </w:r>
          </w:p>
        </w:tc>
      </w:tr>
    </w:tbl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анализа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- обзоры публикуемых </w:t>
      </w:r>
      <w:r>
        <w:rPr>
          <w:rFonts w:ascii="Times New Roman" w:hAnsi="Times New Roman" w:cs="Times New Roman"/>
          <w:sz w:val="28"/>
          <w:szCs w:val="28"/>
          <w:lang w:val="da-DK"/>
        </w:rPr>
        <w:t>мета-анализов;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- систематические обзоры с таблицами доказательств.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Описание методов, использованных для анализа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EMBASE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MEDLINE</w:t>
      </w:r>
      <w:r>
        <w:rPr>
          <w:rFonts w:ascii="Times New Roman" w:hAnsi="Times New Roman" w:cs="Times New Roman"/>
          <w:sz w:val="28"/>
          <w:szCs w:val="28"/>
          <w:lang w:val="da-DK"/>
        </w:rPr>
        <w:t>. Глуб</w:t>
      </w:r>
      <w:r>
        <w:rPr>
          <w:rFonts w:ascii="Times New Roman" w:hAnsi="Times New Roman" w:cs="Times New Roman"/>
          <w:sz w:val="28"/>
          <w:szCs w:val="28"/>
          <w:lang w:val="da-DK"/>
        </w:rPr>
        <w:t>ина поиска составила 5 лет.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оценки качества и силы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- Консенсус экспертов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- Оценка значимости в соответствии с рейтинговой схемой (табл.1).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Таблицы доказательств: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Таблицы доказательств заполнялись членами рабочей гр</w:t>
      </w:r>
      <w:r>
        <w:rPr>
          <w:rFonts w:ascii="Times New Roman" w:hAnsi="Times New Roman" w:cs="Times New Roman"/>
          <w:sz w:val="28"/>
          <w:szCs w:val="28"/>
          <w:lang w:val="da-DK"/>
        </w:rPr>
        <w:t>уппы.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формулирования рекомендаций: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Консенсус экспертов.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da-DK"/>
        </w:rPr>
        <w:t>аблица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a-DK"/>
        </w:rPr>
        <w:t>Рейтинговая схема для оценки силы рекомендаций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8588"/>
      </w:tblGrid>
      <w:tr w:rsidR="00BA375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Описание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По меньшей мере, один мета-анализ, систематический обзор или РКИ, оцененные как 1++, напрямую примененимые к целевой 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популяции и демонстрирующие устойчивость результатов, </w:t>
            </w:r>
          </w:p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Или группа доказательств, включающие результаты исследований, оцененные как 1+,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ямую применимые к целевой популяции и демонстрирующие общую устойчивость результатов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Группа доказательств, включающая результаты исследований, оцененные как 2++, напрямую применимые к целевой популяции и демонстрирующие общую устойчивость результатов.</w:t>
            </w:r>
          </w:p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ли экстраполированные доказательства из исследований, оцененных как 1++ или 1+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Группа доказательств, включающая результаты исследований, оцененные как 2+,  напрямую применимые к целевой популяции и демонстрирующие общую устойчивость результатов.</w:t>
            </w:r>
          </w:p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Или эк</w:t>
            </w: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страполированные доказательства из исследований, оцененных как 2++ 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Доказательства уровня 3 или 4. </w:t>
            </w:r>
          </w:p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Или экстраполированные доказательства из исследований, оцененных как 2+</w:t>
            </w:r>
          </w:p>
        </w:tc>
      </w:tr>
    </w:tbl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Индикаторы доброкачественной практики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Practice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GPPs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)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</w:r>
      <w:r>
        <w:rPr>
          <w:rFonts w:ascii="Times New Roman" w:hAnsi="Times New Roman" w:cs="Times New Roman"/>
          <w:sz w:val="28"/>
          <w:szCs w:val="28"/>
          <w:lang w:val="da-DK"/>
        </w:rPr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Экономический анализ: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Анализ стоимости не проводился и публикации по фармакоэкономике не анализировались.</w:t>
      </w: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Метод валидизации рекоменд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аций: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  <w:t>- Внешняя экспертная оценка.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  <w:t>- Внутренняя экспертная оценка.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Описание метода валидизации рекомендаций: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lastRenderedPageBreak/>
        <w:tab/>
        <w:t>Настоящие рекомендации в предварительной версии были рецензированы независимыми экспертами, которых попросили прокомментировать прежде всего то,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насколько интерпретация доказательств, лежащих в основе рекомендаций, доступна для понимания.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  <w:t>Получены комментарии со стороны врачей первичного звена и участковых педиатров в отношении доходчивости изложения рекомендаций и их оценки важности рекомендаций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как рабочего инструмента повседневной практики.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>Консультации и экспертная оценка: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будут представлены к обсуждению на экспертном совете детских эндокринологов в рамках  VII Научно-практической конференции «Эндокринологические аспекты в педиатрии» (12-13 декабря 2013г., Москва). </w:t>
      </w:r>
      <w:r>
        <w:rPr>
          <w:rFonts w:ascii="Times New Roman" w:hAnsi="Times New Roman" w:cs="Times New Roman"/>
          <w:sz w:val="28"/>
          <w:szCs w:val="28"/>
          <w:lang w:val="da-DK"/>
        </w:rPr>
        <w:t>Предварительная версия выставлена для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широкого обсуждения на сайте ЭНЦ, для того, чтобы лица, не участвующие в конгрессе и конференциях, имели возможность принять участие в обсуждении и совершенствовании рекомендаций.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>Проект рекомендаций будет рецензирован также независимыми экспертами, котор</w:t>
      </w:r>
      <w:r>
        <w:rPr>
          <w:rFonts w:ascii="Times New Roman" w:hAnsi="Times New Roman" w:cs="Times New Roman"/>
          <w:sz w:val="28"/>
          <w:szCs w:val="28"/>
          <w:lang w:val="da-DK"/>
        </w:rPr>
        <w:t>ых попросили прокомментировать прежде всего доходчивость и точность интерпретации доказательной базы, лежащей в основе рекомендаций.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Рабочая группа: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  <w:t>Для окончательной редакции и контроля качества рекомендации будут повторно проанализированы членами рабоче</w:t>
      </w:r>
      <w:r>
        <w:rPr>
          <w:rFonts w:ascii="Times New Roman" w:hAnsi="Times New Roman" w:cs="Times New Roman"/>
          <w:sz w:val="28"/>
          <w:szCs w:val="28"/>
          <w:lang w:val="da-DK"/>
        </w:rPr>
        <w:t>й группы, с целью оценить,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  <w:lang w:val="da-DK"/>
        </w:rPr>
        <w:tab/>
        <w:t>Сила рекомендаций (А-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da-DK"/>
        </w:rPr>
        <w:t>) приводится при изложении текста рекомендаций.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Несахарн</w:t>
      </w:r>
      <w:r>
        <w:rPr>
          <w:rFonts w:ascii="Times New Roman" w:hAnsi="Times New Roman" w:cs="Times New Roman"/>
          <w:sz w:val="28"/>
          <w:szCs w:val="28"/>
        </w:rPr>
        <w:t>ый диабет (НД) является гетерогенным клиническим синдромом, возникающим вследствие нарушения секреции антидиуретического гормона (АДГ) [центральный несахарный диабет (ЦНД)], резистентности почек к действию АДГ [нефрогенный несахарный диабет (ННД)] или избы</w:t>
      </w:r>
      <w:r>
        <w:rPr>
          <w:rFonts w:ascii="Times New Roman" w:hAnsi="Times New Roman" w:cs="Times New Roman"/>
          <w:sz w:val="28"/>
          <w:szCs w:val="28"/>
        </w:rPr>
        <w:t xml:space="preserve">точного потребления жидкости [первичная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полидипсия ПП)]. Несахарный диабет проявляется выделением большого количества  мочи (полиурия) с низкой осмоляльностью (осмоляльность менее 300 мосм/кг), полидипсией (объем потребляемой жидкости превышает &gt; 2 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/су</w:t>
      </w:r>
      <w:r>
        <w:rPr>
          <w:rFonts w:ascii="Times New Roman" w:hAnsi="Times New Roman" w:cs="Times New Roman"/>
          <w:sz w:val="28"/>
          <w:szCs w:val="28"/>
        </w:rPr>
        <w:t>тки) и плохой прибавкой в весе. Полиурией считается выделение мочи в объеме, превышающем 2л/м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/сутки, или приблизительно 150 мл/кг/сутки для новорожденных, 100-110 мл/кг/сутки для детей до 2 лет, и 40-50 мл/кг/сутки для детей более старшего возраста и взро</w:t>
      </w:r>
      <w:r>
        <w:rPr>
          <w:rFonts w:ascii="Times New Roman" w:hAnsi="Times New Roman" w:cs="Times New Roman"/>
          <w:sz w:val="28"/>
          <w:szCs w:val="28"/>
        </w:rPr>
        <w:t>слых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Классификация несахарного диабета</w:t>
      </w:r>
    </w:p>
    <w:p w:rsidR="00BA375F" w:rsidRDefault="004C5569">
      <w:pPr>
        <w:pStyle w:val="a9"/>
        <w:numPr>
          <w:ilvl w:val="0"/>
          <w:numId w:val="11"/>
        </w:numPr>
      </w:pPr>
      <w:r>
        <w:rPr>
          <w:rFonts w:ascii="Times New Roman" w:hAnsi="Times New Roman" w:cs="Times New Roman"/>
          <w:b/>
          <w:sz w:val="28"/>
          <w:szCs w:val="28"/>
        </w:rPr>
        <w:t>Центральный</w:t>
      </w:r>
    </w:p>
    <w:p w:rsidR="00BA375F" w:rsidRDefault="004C5569">
      <w:pPr>
        <w:pStyle w:val="a9"/>
        <w:numPr>
          <w:ilvl w:val="2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Семейный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аутосомно-доминантный (мутации гена препро-аргинин вазопрессина [prepro-AVP2])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 xml:space="preserve">аутосомно-рецессивный (синдром Вольфрама [несахарный диабет, сахарный диабет, атрофия зрительных нервов, </w:t>
      </w:r>
      <w:r>
        <w:rPr>
          <w:rFonts w:ascii="Times New Roman" w:hAnsi="Times New Roman" w:cs="Times New Roman"/>
          <w:sz w:val="28"/>
          <w:szCs w:val="28"/>
        </w:rPr>
        <w:t>глухота])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анатомические дефекты среднего мозга (септооптическая дисплазия, голопрозэнцефалия)</w:t>
      </w:r>
    </w:p>
    <w:p w:rsidR="00BA375F" w:rsidRDefault="004C5569">
      <w:pPr>
        <w:pStyle w:val="a9"/>
        <w:numPr>
          <w:ilvl w:val="2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Приобретенный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травматического характера (травма головы, нейрохирургические вмешательства)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опухоли (краниофарингиома, герминома, глиома, метастазы различных опухол</w:t>
      </w:r>
      <w:r>
        <w:rPr>
          <w:rFonts w:ascii="Times New Roman" w:hAnsi="Times New Roman" w:cs="Times New Roman"/>
          <w:sz w:val="28"/>
          <w:szCs w:val="28"/>
        </w:rPr>
        <w:t>ей)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гранулематозное поражение ЦНС (туберкулез, саркоидоз, гистиоцитоз Х, лимфоцитарный гипофизит)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инфекции (энцефалит, менингит, абсцесс ЦНС)</w:t>
      </w:r>
    </w:p>
    <w:p w:rsidR="00BA375F" w:rsidRDefault="004C5569">
      <w:pPr>
        <w:pStyle w:val="a9"/>
        <w:numPr>
          <w:ilvl w:val="3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сосудистое поражение (кровоизлияние, гипоксия, серповидно-клеточная анемия)</w:t>
      </w:r>
    </w:p>
    <w:p w:rsidR="00BA375F" w:rsidRDefault="004C5569">
      <w:pPr>
        <w:pStyle w:val="a9"/>
        <w:numPr>
          <w:ilvl w:val="0"/>
          <w:numId w:val="9"/>
        </w:numPr>
      </w:pPr>
      <w:r>
        <w:rPr>
          <w:rFonts w:ascii="Times New Roman" w:hAnsi="Times New Roman" w:cs="Times New Roman"/>
          <w:b/>
          <w:sz w:val="28"/>
          <w:szCs w:val="28"/>
        </w:rPr>
        <w:t>Нефрогенный</w:t>
      </w:r>
    </w:p>
    <w:p w:rsidR="00BA375F" w:rsidRDefault="004C5569">
      <w:pPr>
        <w:pStyle w:val="a9"/>
        <w:numPr>
          <w:ilvl w:val="2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Семейный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рецессивный Х-сце</w:t>
      </w:r>
      <w:r>
        <w:rPr>
          <w:rFonts w:ascii="Times New Roman" w:hAnsi="Times New Roman" w:cs="Times New Roman"/>
          <w:sz w:val="28"/>
          <w:szCs w:val="28"/>
        </w:rPr>
        <w:t>пленный (ген V2рецептора аргинин вазопрессина)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аутосомно-рецессивный (ген аквапорина-2[AQP2])</w:t>
      </w:r>
    </w:p>
    <w:p w:rsidR="00BA375F" w:rsidRDefault="004C5569">
      <w:pPr>
        <w:pStyle w:val="a9"/>
        <w:numPr>
          <w:ilvl w:val="2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Приобретенный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метаболический (гипокалиемия, гиперкальциемия)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осмотический (сахарный диабет)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нефрокальциноз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 xml:space="preserve">обструкция </w:t>
      </w:r>
      <w:r>
        <w:rPr>
          <w:rFonts w:ascii="Times New Roman" w:hAnsi="Times New Roman" w:cs="Times New Roman"/>
          <w:sz w:val="28"/>
          <w:szCs w:val="28"/>
        </w:rPr>
        <w:t>мочевыводящих путей</w:t>
      </w:r>
    </w:p>
    <w:p w:rsidR="00BA375F" w:rsidRDefault="004C5569">
      <w:pPr>
        <w:pStyle w:val="a9"/>
        <w:numPr>
          <w:ilvl w:val="3"/>
          <w:numId w:val="8"/>
        </w:numPr>
      </w:pPr>
      <w:r>
        <w:rPr>
          <w:rFonts w:ascii="Times New Roman" w:hAnsi="Times New Roman" w:cs="Times New Roman"/>
          <w:sz w:val="28"/>
          <w:szCs w:val="28"/>
        </w:rPr>
        <w:t>поликистоз почек</w:t>
      </w:r>
    </w:p>
    <w:p w:rsidR="00BA375F" w:rsidRDefault="004C5569">
      <w:pPr>
        <w:pStyle w:val="a9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8"/>
          <w:szCs w:val="28"/>
        </w:rPr>
        <w:t>Первичная полидипсия</w:t>
      </w:r>
    </w:p>
    <w:p w:rsidR="00BA375F" w:rsidRDefault="004C5569">
      <w:pPr>
        <w:pStyle w:val="a9"/>
        <w:numPr>
          <w:ilvl w:val="3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психогенная – компульсивное потребление жидкости</w:t>
      </w:r>
    </w:p>
    <w:p w:rsidR="00BA375F" w:rsidRDefault="004C5569">
      <w:pPr>
        <w:pStyle w:val="a9"/>
        <w:numPr>
          <w:ilvl w:val="3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дипсогенная – понижение порога осморецепторов для жажды</w:t>
      </w:r>
    </w:p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Диагностика центрального несахарного диабета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На первом этапе диагностики проводится анализ ж</w:t>
      </w:r>
      <w:r>
        <w:rPr>
          <w:rFonts w:ascii="Times New Roman" w:hAnsi="Times New Roman" w:cs="Times New Roman"/>
          <w:sz w:val="28"/>
          <w:szCs w:val="28"/>
        </w:rPr>
        <w:t>алоб, клинических симптомов, данных анамнеза.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i/>
          <w:sz w:val="28"/>
          <w:szCs w:val="28"/>
        </w:rPr>
        <w:t>Клинические проявления и симптомы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Основными симптомами развития НД являются постоянные полиурия и полидипсия (критерии полиурии см. выше). Имеет место ночная полиурия (что иногда расценивают, как проявления эну</w:t>
      </w:r>
      <w:r>
        <w:rPr>
          <w:rFonts w:ascii="Times New Roman" w:hAnsi="Times New Roman" w:cs="Times New Roman"/>
          <w:sz w:val="28"/>
          <w:szCs w:val="28"/>
        </w:rPr>
        <w:t>реза),  при недостаточном восполнении потерь жидкости отмечаются сухость кожных покровов и слизистых оболочек.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У маленьких детей может развиваться выраженная дегидратация, наблюдается рвота при приеме пищи, запоры, повышение температуры тела, нарушения сна</w:t>
      </w:r>
      <w:r>
        <w:rPr>
          <w:rFonts w:ascii="Times New Roman" w:hAnsi="Times New Roman" w:cs="Times New Roman"/>
          <w:sz w:val="28"/>
          <w:szCs w:val="28"/>
        </w:rPr>
        <w:t>, раздражительность, плохая прибавка в росте и весе.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Если развитие НД обусловлено внутримозговой опухолью (герминома, краниофарингиома, глиома и др.), у пациентов часто наблюдаются неврологические нарушения (головные боли, птоз, косоглазие, нарушение поход</w:t>
      </w:r>
      <w:r>
        <w:rPr>
          <w:rFonts w:ascii="Times New Roman" w:hAnsi="Times New Roman" w:cs="Times New Roman"/>
          <w:sz w:val="28"/>
          <w:szCs w:val="28"/>
        </w:rPr>
        <w:t xml:space="preserve">ки и др.),  зрительные нарушения (снижение остроты и/или выпадение полей зрения, диплопия), симптомы, связанные с выпадением или гиперсекрецией тех или иных гормонов аденогипофиза.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Данные анамнеза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Возраст начала развития полидипсии и полиурии, а также хар</w:t>
      </w:r>
      <w:r>
        <w:rPr>
          <w:rFonts w:ascii="Times New Roman" w:hAnsi="Times New Roman" w:cs="Times New Roman"/>
          <w:sz w:val="28"/>
          <w:szCs w:val="28"/>
        </w:rPr>
        <w:t>актер потребления жидкости имеют большое значение для дальнейшего диагностического поиска.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семейном ЦНД заболевание манифестирует обычно в возрасте от 1 до 6 лет. Как правило, симптомы усиливаются в течение первых нескольких лет существования заболеван</w:t>
      </w:r>
      <w:r>
        <w:rPr>
          <w:rFonts w:ascii="Times New Roman" w:hAnsi="Times New Roman" w:cs="Times New Roman"/>
          <w:sz w:val="28"/>
          <w:szCs w:val="28"/>
        </w:rPr>
        <w:t>ия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синдроме Вольфрама  несахарный диабет в подавляющем большинстве случаев манифестирует после 10 лет, его появлению предшествуют развитие сахарного  диабета и атрофии зрительных нервов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i/>
          <w:sz w:val="28"/>
          <w:szCs w:val="28"/>
        </w:rPr>
        <w:t>Характер приема жидкости.</w:t>
      </w:r>
      <w:r>
        <w:rPr>
          <w:rFonts w:ascii="Times New Roman" w:hAnsi="Times New Roman" w:cs="Times New Roman"/>
          <w:sz w:val="28"/>
          <w:szCs w:val="28"/>
        </w:rPr>
        <w:t xml:space="preserve"> При несахарном диабете пациен</w:t>
      </w:r>
      <w:r>
        <w:rPr>
          <w:rFonts w:ascii="Times New Roman" w:hAnsi="Times New Roman" w:cs="Times New Roman"/>
          <w:sz w:val="28"/>
          <w:szCs w:val="28"/>
        </w:rPr>
        <w:t>ты предпочитают пить холодную негазированную воду; для пациентов с несахарным диабетом невозможны длительные перерывы в приеме воды (ребенку требуется жидкость каждые 15-30 мин), независимо от степени занятости или увлеченности чем-либо (игра, занятия в шк</w:t>
      </w:r>
      <w:r>
        <w:rPr>
          <w:rFonts w:ascii="Times New Roman" w:hAnsi="Times New Roman" w:cs="Times New Roman"/>
          <w:sz w:val="28"/>
          <w:szCs w:val="28"/>
        </w:rPr>
        <w:t xml:space="preserve">оле, просмотр телевизора и т.д.).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соответствующих жалоб и клинических проявлений проводится следующий этап диагностики несахарного диабета.</w:t>
      </w:r>
    </w:p>
    <w:p w:rsidR="00BA375F" w:rsidRDefault="004C5569">
      <w:pPr>
        <w:pStyle w:val="a9"/>
        <w:numPr>
          <w:ilvl w:val="0"/>
          <w:numId w:val="1"/>
        </w:numPr>
        <w:ind w:left="1416" w:firstLine="0"/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подтвердить наличие полиурии; для этого проводится сбор суточной мочи и/или анализ мочи по </w:t>
      </w:r>
      <w:r>
        <w:rPr>
          <w:rFonts w:ascii="Times New Roman" w:hAnsi="Times New Roman" w:cs="Times New Roman"/>
          <w:sz w:val="28"/>
          <w:szCs w:val="28"/>
        </w:rPr>
        <w:t>Зимницкому с определением ее общего количества и осмоляльности/относительной плотности по порциям; одновременно с этим подсчитывают количество выпитой за сутки жидкости (для оценки адекватности водного баланса)</w:t>
      </w:r>
    </w:p>
    <w:p w:rsidR="00BA375F" w:rsidRDefault="004C5569">
      <w:pPr>
        <w:pStyle w:val="a9"/>
        <w:numPr>
          <w:ilvl w:val="0"/>
          <w:numId w:val="1"/>
        </w:numPr>
        <w:ind w:left="1416" w:firstLine="0"/>
      </w:pPr>
      <w:r>
        <w:rPr>
          <w:rFonts w:ascii="Times New Roman" w:hAnsi="Times New Roman" w:cs="Times New Roman"/>
          <w:sz w:val="28"/>
          <w:szCs w:val="28"/>
        </w:rPr>
        <w:t>Определяют осмоляльность плазмы крови</w:t>
      </w:r>
    </w:p>
    <w:p w:rsidR="00BA375F" w:rsidRDefault="004C5569">
      <w:pPr>
        <w:pStyle w:val="a9"/>
        <w:numPr>
          <w:ilvl w:val="0"/>
          <w:numId w:val="1"/>
        </w:numPr>
        <w:ind w:left="1416" w:firstLine="0"/>
      </w:pPr>
      <w:r>
        <w:rPr>
          <w:rFonts w:ascii="Times New Roman" w:hAnsi="Times New Roman" w:cs="Times New Roman"/>
          <w:sz w:val="28"/>
          <w:szCs w:val="28"/>
        </w:rPr>
        <w:t>В биохи</w:t>
      </w:r>
      <w:r>
        <w:rPr>
          <w:rFonts w:ascii="Times New Roman" w:hAnsi="Times New Roman" w:cs="Times New Roman"/>
          <w:sz w:val="28"/>
          <w:szCs w:val="28"/>
        </w:rPr>
        <w:t xml:space="preserve">мическом анализе крови определяют </w:t>
      </w:r>
    </w:p>
    <w:p w:rsidR="00BA375F" w:rsidRDefault="004C5569">
      <w:pPr>
        <w:pStyle w:val="a9"/>
        <w:numPr>
          <w:ilvl w:val="2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Натрий (в т.ч.  для выявления противопоказаний к проведению пробы с сухоедением или при невозможности определить осмоляльность плазмы крови), глюкозу, хлор, мочевину, креатинин – для исключения осмотического диуреза</w:t>
      </w:r>
    </w:p>
    <w:p w:rsidR="00BA375F" w:rsidRDefault="004C5569">
      <w:pPr>
        <w:pStyle w:val="a9"/>
        <w:numPr>
          <w:ilvl w:val="2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Кальций общий и ионизированный, калий, белок – для исключения наиболее частых причин нефрогенного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несахарного диабета (гиперкальциемия, гипокалиемия, обструктивная уропатия)</w:t>
      </w:r>
    </w:p>
    <w:p w:rsidR="00BA375F" w:rsidRDefault="004C5569">
      <w:pPr>
        <w:pStyle w:val="a3"/>
        <w:ind w:firstLine="435"/>
      </w:pPr>
      <w:r>
        <w:rPr>
          <w:rFonts w:ascii="Times New Roman" w:hAnsi="Times New Roman" w:cs="Times New Roman"/>
          <w:sz w:val="28"/>
          <w:szCs w:val="28"/>
        </w:rPr>
        <w:t>Далее для дифференциальной диагностики между несахарным диабетом и первичной полид</w:t>
      </w:r>
      <w:r>
        <w:rPr>
          <w:rFonts w:ascii="Times New Roman" w:hAnsi="Times New Roman" w:cs="Times New Roman"/>
          <w:sz w:val="28"/>
          <w:szCs w:val="28"/>
        </w:rPr>
        <w:t xml:space="preserve">ипсией проводится проба с сухоедением. Она показана, если: </w:t>
      </w:r>
    </w:p>
    <w:p w:rsidR="00BA375F" w:rsidRDefault="004C5569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существует подтвержденная гипоосмотическая полиурия (осмоляльность мочи менее &lt;295 мОсм/кг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и/или относительная плотность мочи менее 1005 во всех порциях анализа по Зимницкому); </w:t>
      </w:r>
    </w:p>
    <w:p w:rsidR="00BA375F" w:rsidRDefault="004C5569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уровень натрия</w:t>
      </w:r>
      <w:r>
        <w:rPr>
          <w:rFonts w:ascii="Times New Roman" w:hAnsi="Times New Roman" w:cs="Times New Roman"/>
          <w:sz w:val="28"/>
          <w:szCs w:val="28"/>
        </w:rPr>
        <w:t xml:space="preserve"> в плазме крови не более 143 ммоль/л;  </w:t>
      </w:r>
    </w:p>
    <w:p w:rsidR="00BA375F" w:rsidRDefault="004C5569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если осмоляльность крови выше осмоляльности мочи.</w:t>
      </w:r>
    </w:p>
    <w:p w:rsidR="00BA375F" w:rsidRDefault="004C5569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Если уровень натрия превышает 143 ммоль/л, а также при наличии у пациента опухоли хиазмально-селлярной области или гистиоцитоза из клеток Лангерганса проба с с</w:t>
      </w:r>
      <w:r>
        <w:rPr>
          <w:rFonts w:ascii="Times New Roman" w:hAnsi="Times New Roman" w:cs="Times New Roman"/>
          <w:sz w:val="28"/>
          <w:szCs w:val="28"/>
        </w:rPr>
        <w:t>ухоедением не проводится. Это может привести к развитию жизнеугрожающего состояния вследствие быстрого развития обезвоживания и гипернатриемии (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i/>
          <w:sz w:val="28"/>
          <w:szCs w:val="28"/>
        </w:rPr>
        <w:t>Алгоритм проведения пробы с сухоедением:</w:t>
      </w:r>
    </w:p>
    <w:p w:rsidR="00BA375F" w:rsidRDefault="004C5569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 течение ночи ребенок может потреблять необходимое ему количеств</w:t>
      </w:r>
      <w:r>
        <w:rPr>
          <w:rFonts w:ascii="Times New Roman" w:hAnsi="Times New Roman" w:cs="Times New Roman"/>
          <w:sz w:val="28"/>
          <w:szCs w:val="28"/>
        </w:rPr>
        <w:t>о жидкости;</w:t>
      </w:r>
    </w:p>
    <w:p w:rsidR="00BA375F" w:rsidRDefault="004C5569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 8.00 утра пациента взвешивают, измеряют осмоляльность и уровень натрия в плазме крови, а также осмоляльность (или удельный вес) и объем  мочи, после чего ребенок  прекращает прием жидкостей;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пища, которую ребенок принимает во время пробы, не </w:t>
      </w:r>
      <w:r>
        <w:rPr>
          <w:rFonts w:ascii="Times New Roman" w:hAnsi="Times New Roman" w:cs="Times New Roman"/>
          <w:sz w:val="28"/>
          <w:szCs w:val="28"/>
        </w:rPr>
        <w:t>должна содержать много воды и легко усвояемых углеводов  (целесообразно употреблять вареные яйца, зерновой хлеб, нежирные сорта мяса, рыбы, отжатый творог);</w:t>
      </w:r>
    </w:p>
    <w:p w:rsidR="00BA375F" w:rsidRDefault="004C5569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измерение массы тела, определение уровня натрия и осмоляльности плазмы,  осмоляльности или относите</w:t>
      </w:r>
      <w:r>
        <w:rPr>
          <w:rFonts w:ascii="Times New Roman" w:hAnsi="Times New Roman" w:cs="Times New Roman"/>
          <w:sz w:val="28"/>
          <w:szCs w:val="28"/>
        </w:rPr>
        <w:t>льной плотности мочи, температуры тела, состояния слизистых оболочек, общего самочувствия ребенка необходимо проводить каждые 2 часа или чаще, в зависимости от состояния пациента;</w:t>
      </w:r>
    </w:p>
    <w:p w:rsidR="00BA375F" w:rsidRDefault="004C5569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важно тщательно следить за тем, чтобы ребенок не употреблял жидкость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теста. Для большинства пациентов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 ограничение приема жидкости в течение 7-8 часов (или меньше); в случае первичной полидипсии тест может продолжаться до 12 часов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375F" w:rsidRDefault="004C5569">
      <w:pPr>
        <w:pStyle w:val="a3"/>
        <w:ind w:left="708" w:firstLine="360"/>
      </w:pPr>
      <w:r>
        <w:rPr>
          <w:rFonts w:ascii="Times New Roman" w:hAnsi="Times New Roman" w:cs="Times New Roman"/>
          <w:i/>
          <w:sz w:val="28"/>
          <w:szCs w:val="28"/>
        </w:rPr>
        <w:t>Тест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если: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вес пациента снижается на 3-5% от исходног</w:t>
      </w:r>
      <w:r>
        <w:rPr>
          <w:rFonts w:ascii="Times New Roman" w:hAnsi="Times New Roman" w:cs="Times New Roman"/>
          <w:sz w:val="28"/>
          <w:szCs w:val="28"/>
        </w:rPr>
        <w:t xml:space="preserve">о; 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повышается температура тела;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наблюдается ухудшение общего состояния пациента;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пациент больше не может переносить жажду;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и/или уровень натрия плазмы крови превышает 143 ммоль/л;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осмоляльность плазмы превышает 295 мОсм/кг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и/или осмоляльность мочи во</w:t>
      </w:r>
      <w:r>
        <w:rPr>
          <w:rFonts w:ascii="Times New Roman" w:hAnsi="Times New Roman" w:cs="Times New Roman"/>
          <w:sz w:val="28"/>
          <w:szCs w:val="28"/>
        </w:rPr>
        <w:t>зрастает до нормальных значений;</w:t>
      </w:r>
    </w:p>
    <w:p w:rsidR="00BA375F" w:rsidRDefault="004C5569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и/или разница осмоляльности мочи в двух последовательных пробах составляет менее 30 мОсм/кг (или при повышении уровня натрия на 3 ммоль/л).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наличии у ребенка несахарного диабета, несмотря на повышение осмоляльности и /и</w:t>
      </w:r>
      <w:r>
        <w:rPr>
          <w:rFonts w:ascii="Times New Roman" w:hAnsi="Times New Roman" w:cs="Times New Roman"/>
          <w:sz w:val="28"/>
          <w:szCs w:val="28"/>
        </w:rPr>
        <w:t>ли уровня натрия в плазме крови (как результата обезвоживания), осмоляльность мочи не превышает осмоляльности плазмы, т. е. 300 мОсм/кг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O. При этом к концу пробы могут наблюдаться сухость кожных покровов и слизистых оболочек, тахикардия, повышенная раздр</w:t>
      </w:r>
      <w:r>
        <w:rPr>
          <w:rFonts w:ascii="Times New Roman" w:hAnsi="Times New Roman" w:cs="Times New Roman"/>
          <w:sz w:val="28"/>
          <w:szCs w:val="28"/>
        </w:rPr>
        <w:t>ажительность. Если осмоляльность крови к концу пробы практически не изменяется, а осмоляльность мочи при этом увеличивается до 600-700 мОсм/ кг и более, несахарный диабет любого генеза может быть исключен.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Для дифференциальной диагностики между нефрогенным</w:t>
      </w:r>
      <w:r>
        <w:rPr>
          <w:rFonts w:ascii="Times New Roman" w:hAnsi="Times New Roman" w:cs="Times New Roman"/>
          <w:sz w:val="28"/>
          <w:szCs w:val="28"/>
        </w:rPr>
        <w:t xml:space="preserve"> и центральным несахарным диабетом в конце пробы пациенту вводят десмопрессин 10 мкг интраназально, или 0,1 мг перорально, или 60 мкг сублингвально. Перед приемом десмопрессина пациента просят полностью опорожнить мочевой пузырь. Через 2 и 4 ч необходимо с</w:t>
      </w:r>
      <w:r>
        <w:rPr>
          <w:rFonts w:ascii="Times New Roman" w:hAnsi="Times New Roman" w:cs="Times New Roman"/>
          <w:sz w:val="28"/>
          <w:szCs w:val="28"/>
        </w:rPr>
        <w:t>обрать мочу для определения объема и осмоляльности (или относительной плотности). Пациенту разрешается есть и пить, при этом объем выпиваемой жидкости не должен превышать объема мочи, выделенной за время проведения пробы с сухоедением. Повышение концентрац</w:t>
      </w:r>
      <w:r>
        <w:rPr>
          <w:rFonts w:ascii="Times New Roman" w:hAnsi="Times New Roman" w:cs="Times New Roman"/>
          <w:sz w:val="28"/>
          <w:szCs w:val="28"/>
        </w:rPr>
        <w:t xml:space="preserve">ии мочи более чем на 50% говорит о центральном характере НД, а менее чем на 50% - о нефрогенном НД (Табл.1).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выявлении у ребенка нефрогенного НД дальнейшее обследование и лечение проводится у специалистов-нефрологов.</w:t>
      </w:r>
    </w:p>
    <w:p w:rsidR="00BA375F" w:rsidRDefault="004C556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Табл. 1 Показатели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пробы с сухоедением и с последующим введением десмопрессина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89"/>
        <w:gridCol w:w="3193"/>
      </w:tblGrid>
      <w:tr w:rsidR="00BA375F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Осмоляльность мочи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пробы с сухоедением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применения десмопрессина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BA375F">
            <w:pPr>
              <w:pStyle w:val="a3"/>
            </w:pP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&gt;750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ЦНД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ННД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&gt;750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300–750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&lt;750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парциальный ЦНД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BA375F">
            <w:pPr>
              <w:pStyle w:val="a3"/>
            </w:pP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BA375F">
            <w:pPr>
              <w:pStyle w:val="a3"/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парциальный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НД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BA375F">
            <w:pPr>
              <w:pStyle w:val="a3"/>
            </w:pP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BA375F">
            <w:pPr>
              <w:pStyle w:val="a3"/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парциальн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c>
          <w:tcPr>
            <w:tcW w:w="31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*ПП – первичная полидипсия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</w:tr>
    </w:tbl>
    <w:p w:rsidR="00BA375F" w:rsidRDefault="00BA375F">
      <w:pPr>
        <w:pStyle w:val="a3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Появление полиурии и жажды сразу после или через короткое время после нейрохирургического вмешательства (краниофарингиома, глиома, герминома и др.) указывает на развитие центрального несахарного диабета и не тр</w:t>
      </w:r>
      <w:r>
        <w:rPr>
          <w:rFonts w:ascii="Times New Roman" w:hAnsi="Times New Roman" w:cs="Times New Roman"/>
          <w:sz w:val="28"/>
          <w:szCs w:val="28"/>
        </w:rPr>
        <w:t>ебует проведения вышеуказанных диагностических процедур.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Если диагностирован центральный НД, необходимо проведение дальнейших исследований для определения этиологии заболевания.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Проведение магнитно-резонансной томографии (МРТ) головного мозга, в первую оч</w:t>
      </w:r>
      <w:r>
        <w:rPr>
          <w:rFonts w:ascii="Times New Roman" w:hAnsi="Times New Roman" w:cs="Times New Roman"/>
          <w:sz w:val="28"/>
          <w:szCs w:val="28"/>
        </w:rPr>
        <w:t>ередь хиазмально-селлярной области, позволяет определить наличие  опухолевого образования, аномалий стебля/воронки гипофиза, анатомические дефекты среднего мозга. В норме на саггитальных Т1-взвешенных изображениях нейрогипофиз визуализируется в виде гипери</w:t>
      </w:r>
      <w:r>
        <w:rPr>
          <w:rFonts w:ascii="Times New Roman" w:hAnsi="Times New Roman" w:cs="Times New Roman"/>
          <w:sz w:val="28"/>
          <w:szCs w:val="28"/>
        </w:rPr>
        <w:t xml:space="preserve">нтенсивного сигнала. Отсутствие сигнала от нейрогипофиза является отличительным признаком гипоталамо-нейрогипофизарных нарушений, и может указывать на наличие ранней стадии опухолевого процесса. 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наличии утолщения стебля гипофиза или воронки более 6 м</w:t>
      </w:r>
      <w:r>
        <w:rPr>
          <w:rFonts w:ascii="Times New Roman" w:hAnsi="Times New Roman" w:cs="Times New Roman"/>
          <w:sz w:val="28"/>
          <w:szCs w:val="28"/>
        </w:rPr>
        <w:t xml:space="preserve">м показано определение опухолевых маркеров (β-ХГЧ, α-фетопротеиин)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герминативно-клеточной опухоли. При отсутствии повышения онкомаркеров повторную МРТ (и повторное определение онкомаркеров) необходимо проводить с интервалом 1 раз в 6 мес (ил</w:t>
      </w:r>
      <w:r>
        <w:rPr>
          <w:rFonts w:ascii="Times New Roman" w:hAnsi="Times New Roman" w:cs="Times New Roman"/>
          <w:sz w:val="28"/>
          <w:szCs w:val="28"/>
        </w:rPr>
        <w:t>и при появлении каких-либо новых симптомов) на протяжении 3 лет, затем 1 раз в 12 мес на протяжении 3-4 лет.  Наличие на МРТ признаков утолщения стебля гипофиза или воронки может быть признаком развития инфильтративных заболеваний (в первую очередь, гистио</w:t>
      </w:r>
      <w:r>
        <w:rPr>
          <w:rFonts w:ascii="Times New Roman" w:hAnsi="Times New Roman" w:cs="Times New Roman"/>
          <w:sz w:val="28"/>
          <w:szCs w:val="28"/>
        </w:rPr>
        <w:t>цитоза из клеток Лангерганса) или герминомы; также не исключено наличие гипофизита/инфундибулита. В таких случаях также целесообразно проводить периодическое гормональное обследование для оценки тропных функций аденогипофиза. Нередко симптомы ЦНД появляютс</w:t>
      </w:r>
      <w:r>
        <w:rPr>
          <w:rFonts w:ascii="Times New Roman" w:hAnsi="Times New Roman" w:cs="Times New Roman"/>
          <w:sz w:val="28"/>
          <w:szCs w:val="28"/>
        </w:rPr>
        <w:t>я  за несколько лет до неврологических и других проявлений герминомы или гистиоцитоза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Терапия центрального несахарного диабета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Основная задача терапии несахарного диабета у детей – это снижение объема выделяемой мочи и (в большинстве случаев) уменьше</w:t>
      </w:r>
      <w:r>
        <w:rPr>
          <w:rFonts w:ascii="Times New Roman" w:hAnsi="Times New Roman" w:cs="Times New Roman"/>
          <w:sz w:val="28"/>
          <w:szCs w:val="28"/>
        </w:rPr>
        <w:t>ние жажды, что, в свою очередь, позволит ребенку поддерживать нормальный образ жизни. Специфическая терапия несахарного диабета  зависит от этиологии заболевания.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Для решения этих задач необходимы:</w:t>
      </w:r>
    </w:p>
    <w:p w:rsidR="00BA375F" w:rsidRDefault="004C556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обеспечение свободного доступа ребенка к воде</w:t>
      </w:r>
    </w:p>
    <w:p w:rsidR="00BA375F" w:rsidRDefault="004C556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оптимизация </w:t>
      </w:r>
      <w:r>
        <w:rPr>
          <w:rFonts w:ascii="Times New Roman" w:hAnsi="Times New Roman" w:cs="Times New Roman"/>
          <w:sz w:val="28"/>
          <w:szCs w:val="28"/>
        </w:rPr>
        <w:t>пищевого рацион с целью уменьшения объема выделяемой жидкости (преимущественно у детей с ННД)</w:t>
      </w:r>
    </w:p>
    <w:p w:rsidR="00BA375F" w:rsidRDefault="004C556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для терапии ЦНД – применение аналога вазопрессина – десмопрессина</w:t>
      </w:r>
    </w:p>
    <w:p w:rsidR="00BA375F" w:rsidRDefault="004C556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для терапии ННД – использование препаратов, усиливающих реабсорбцию воды в почках</w:t>
      </w:r>
    </w:p>
    <w:p w:rsidR="00BA375F" w:rsidRDefault="004C556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терапия основн</w:t>
      </w:r>
      <w:r>
        <w:rPr>
          <w:rFonts w:ascii="Times New Roman" w:hAnsi="Times New Roman" w:cs="Times New Roman"/>
          <w:sz w:val="28"/>
          <w:szCs w:val="28"/>
        </w:rPr>
        <w:t>ого заболевания.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У детей с НД должен постоянно быть свободный доступ к воде. При этом длительный прием большого количества жидкости может привести к дискинезии желчевыводящих путей, опущению желудка, развитию синдрома раздражённого кишечника, а также к развитию гидронефроз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В настоящее время при лечении ЦНД препаратом выбора является десмопрессин (1-дезамино-8-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-аргининвазопрессина [ДДАВП])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.  Десмопрессин является синтетическим аналогом антидиуретического гормона, в котором дезаминирован 1-цистеин и в 8 позиции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-изо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аргинина замещен 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-изомер. За счет этого десмопрессин оказывает  более выраженный  антидиуретический эффект, обладает большей продолжительностью действия по сравнению с АДГ. Одновременно с этим вазопрессорный эффекта десмопрессина в 2000-3000 раз ме</w:t>
      </w:r>
      <w:r>
        <w:rPr>
          <w:rFonts w:ascii="Times New Roman" w:hAnsi="Times New Roman" w:cs="Times New Roman"/>
          <w:sz w:val="28"/>
          <w:szCs w:val="28"/>
        </w:rPr>
        <w:t>ньше такового у вазопрессина.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Десмопрессин применяют в форме интраназальных спрея или капель, пероральных таблеток и таблеток с лиофилизированной (мелт) субстанцией для сублингвального применения. Интраназальная форма препарата наиболее часто применяется </w:t>
      </w:r>
      <w:r>
        <w:rPr>
          <w:rFonts w:ascii="Times New Roman" w:hAnsi="Times New Roman" w:cs="Times New Roman"/>
          <w:sz w:val="28"/>
          <w:szCs w:val="28"/>
        </w:rPr>
        <w:t>во время операций, в послеоперационном периоде, при наличии у ребенка тошноты и/или рвоты, при резко выраженном негативизме по отношению к таблетированным препаратам. Преимуществами таблетированных форм препарата являются хорошая всасываемость, более широк</w:t>
      </w:r>
      <w:r>
        <w:rPr>
          <w:rFonts w:ascii="Times New Roman" w:hAnsi="Times New Roman" w:cs="Times New Roman"/>
          <w:sz w:val="28"/>
          <w:szCs w:val="28"/>
        </w:rPr>
        <w:t>ие возможности изменения и подбора оптимальных доз препарата, в большинстве случаев – хорошая комплаентность пациентов. Кроме того, возможность давать десмопрессин в таблетках в очень маленьких дозах ( до 0,025 мг/прием) сводит к минимуму риск передозировк</w:t>
      </w:r>
      <w:r>
        <w:rPr>
          <w:rFonts w:ascii="Times New Roman" w:hAnsi="Times New Roman" w:cs="Times New Roman"/>
          <w:sz w:val="28"/>
          <w:szCs w:val="28"/>
        </w:rPr>
        <w:t>и препарата у детей 3-5 лет и у пациентов с низкой потребностью в заместительной терапии.  В табл.2 представлены формы выпуска десмопрессина, указаны средние применяемые дозы препаратов и кратность их приема.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Табл. 2 Формы выпуска десмопрессина, средние пр</w:t>
      </w:r>
      <w:r>
        <w:rPr>
          <w:rFonts w:ascii="Times New Roman" w:hAnsi="Times New Roman" w:cs="Times New Roman"/>
          <w:b/>
          <w:sz w:val="28"/>
          <w:szCs w:val="28"/>
        </w:rPr>
        <w:t>именяемые дозы препаратов и кратность их приема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1842"/>
        <w:gridCol w:w="2693"/>
        <w:gridCol w:w="1384"/>
      </w:tblGrid>
      <w:tr w:rsidR="00BA3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</w:pPr>
            <w:r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  <w:jc w:val="center"/>
            </w:pPr>
            <w:r>
              <w:rPr>
                <w:rFonts w:ascii="Times New Roman" w:hAnsi="Times New Roman" w:cs="Times New Roman"/>
              </w:rPr>
              <w:t>Кратность    приема (в среднем)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Средняя суточная доза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  <w:jc w:val="center"/>
            </w:pPr>
            <w:r>
              <w:rPr>
                <w:rFonts w:ascii="Times New Roman" w:hAnsi="Times New Roman" w:cs="Times New Roman"/>
              </w:rPr>
              <w:t>Таблетки для приема внутрь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100 мкг (0,1 мг)</w:t>
            </w:r>
          </w:p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200 мкг (0,2 мг)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2-3 раза/ сутки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100-300 мкг (0,1-0,3 мг)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  <w:jc w:val="center"/>
            </w:pPr>
            <w:r>
              <w:rPr>
                <w:rFonts w:ascii="Times New Roman" w:hAnsi="Times New Roman" w:cs="Times New Roman"/>
              </w:rPr>
              <w:t xml:space="preserve">Таблетки для подъязычного </w:t>
            </w:r>
            <w:r>
              <w:rPr>
                <w:rFonts w:ascii="Times New Roman" w:hAnsi="Times New Roman" w:cs="Times New Roman"/>
              </w:rPr>
              <w:t>применения (лиофилизированная форма)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60 мкг</w:t>
            </w:r>
          </w:p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120 мкг</w:t>
            </w:r>
          </w:p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240 мкг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2-3 раза/сутки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60-180 мкг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  <w:jc w:val="center"/>
            </w:pPr>
            <w:r>
              <w:rPr>
                <w:rFonts w:ascii="Times New Roman" w:hAnsi="Times New Roman" w:cs="Times New Roman"/>
              </w:rPr>
              <w:t>Капли в нос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100 мкг/1 доза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1-2 раза/сутки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100-200 мкг</w:t>
            </w:r>
          </w:p>
        </w:tc>
      </w:tr>
      <w:tr w:rsidR="00BA3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ind w:firstLine="708"/>
              <w:jc w:val="center"/>
            </w:pPr>
            <w:r>
              <w:rPr>
                <w:rFonts w:ascii="Times New Roman" w:hAnsi="Times New Roman" w:cs="Times New Roman"/>
              </w:rPr>
              <w:t>Назальный спрей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 мкг/1 доза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1-2 раза/ сутки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5F" w:rsidRDefault="004C5569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10-20 мкг</w:t>
            </w:r>
          </w:p>
        </w:tc>
      </w:tr>
    </w:tbl>
    <w:p w:rsidR="00BA375F" w:rsidRDefault="00BA375F">
      <w:pPr>
        <w:pStyle w:val="a3"/>
        <w:ind w:firstLine="708"/>
      </w:pP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длительность и сила 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препарата могут сильно варьировать, поэтому частота его приема и доза подбираются индивидуально. У детей до 3 лет лекарственная терапия центрального НД в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большинстве случаев не применяется из-за опасности передозировки десмопрессина с развитием гипонатрием</w:t>
      </w:r>
      <w:r>
        <w:rPr>
          <w:rFonts w:ascii="Times New Roman" w:hAnsi="Times New Roman" w:cs="Times New Roman"/>
          <w:sz w:val="28"/>
          <w:szCs w:val="28"/>
        </w:rPr>
        <w:t>ии. Гипонатриемия приводит к гипоосмоляльности внеклеточной жидкости и переходу воды в клетки, в том числе в клетки мозга. Как следствие, возможно развитие грозного осложнения - отека мозга (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У маленьких детей достаточно сложно контролировать количеств</w:t>
      </w:r>
      <w:r>
        <w:rPr>
          <w:rFonts w:ascii="Times New Roman" w:hAnsi="Times New Roman" w:cs="Times New Roman"/>
          <w:sz w:val="28"/>
          <w:szCs w:val="28"/>
        </w:rPr>
        <w:t xml:space="preserve">о выделяемой мочи, поэтому целесообразно ориентироваться на объем потребляемой жидкости и/или уровень натрия в сыворотке крови. Если симптомы несахарного диабета выражены значительно, повышенная жажда и частое мочеиспускание негативно влияют на развитие и </w:t>
      </w:r>
      <w:r>
        <w:rPr>
          <w:rFonts w:ascii="Times New Roman" w:hAnsi="Times New Roman" w:cs="Times New Roman"/>
          <w:sz w:val="28"/>
          <w:szCs w:val="28"/>
        </w:rPr>
        <w:t>состояние маленького ребенка, возможно очень аккуратное применение препаратов десмопрессина под строгим контролем уровня натрия и/или осмоляльности сыворотки крови. Целесообразно использовать десмопрессин в виде назального спрея, при этом препарат разводят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физиологическим раствором в соотношении 1:10. Разведенный препарат дают через рот 1-2 раза в сутки.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У детей с ЦНД старше 3-х лет терапию препаратами десмопрессина начинают с небольших доз, постепенно увеличивая их по мере необходимости. Кроме того, при п</w:t>
      </w:r>
      <w:r>
        <w:rPr>
          <w:rFonts w:ascii="Times New Roman" w:hAnsi="Times New Roman" w:cs="Times New Roman"/>
          <w:sz w:val="28"/>
          <w:szCs w:val="28"/>
        </w:rPr>
        <w:t>ервоначальном подборе терапии каждую следующую дозу препарата рекомендуется применять после 1-2 часов диуреза в объеме ˃4 мл/кг/час, т.е. после того, как в течение некоторого времени у пациента возникает обильное мочеиспускание, моча при этом становится св</w:t>
      </w:r>
      <w:r>
        <w:rPr>
          <w:rFonts w:ascii="Times New Roman" w:hAnsi="Times New Roman" w:cs="Times New Roman"/>
          <w:sz w:val="28"/>
          <w:szCs w:val="28"/>
        </w:rPr>
        <w:t xml:space="preserve">етлой. Это способствует выведению осмотически свободной мочи и предотвращению развития гипонатриемии. 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При назначении препаратов десмопрессина проводится тщательный ежедневный подсчет и запись количества выпитой и выделенной жидкости; ежедневное определен</w:t>
      </w:r>
      <w:r>
        <w:rPr>
          <w:rFonts w:ascii="Times New Roman" w:hAnsi="Times New Roman" w:cs="Times New Roman"/>
          <w:sz w:val="28"/>
          <w:szCs w:val="28"/>
        </w:rPr>
        <w:t>ие уровня электролитов (натрия, калия) в сыворотке крови, при повышенном/сниженном уровне натрия определения проводятся несколько раз в сутки (обычно 2-3 раза); пациента ежедневно взвешивают для контроля над балансом жидкости. Все эти мероприятия проводятс</w:t>
      </w:r>
      <w:r>
        <w:rPr>
          <w:rFonts w:ascii="Times New Roman" w:hAnsi="Times New Roman" w:cs="Times New Roman"/>
          <w:sz w:val="28"/>
          <w:szCs w:val="28"/>
        </w:rPr>
        <w:t xml:space="preserve">я до стабилизации состояния. В последующем контрольные определения электролитов и баланса жидкости проводятся 1 раз в 3-6 месяцев. Важно объяснять пациентам и их родителям важность контроля над балансом жидкости. Для предотвращения возможной передозировки </w:t>
      </w:r>
      <w:r>
        <w:rPr>
          <w:rFonts w:ascii="Times New Roman" w:hAnsi="Times New Roman" w:cs="Times New Roman"/>
          <w:sz w:val="28"/>
          <w:szCs w:val="28"/>
        </w:rPr>
        <w:t>препарата дозу десмопрессина для длительной заместительной терапии следует подбирать таким образом, чтобы суточное количество выделенной жидкости несколько  превышало нормальные значения суточного диуреза. (в норме количество выделяемой мочи составляет 15-</w:t>
      </w:r>
      <w:r>
        <w:rPr>
          <w:rFonts w:ascii="Times New Roman" w:hAnsi="Times New Roman" w:cs="Times New Roman"/>
          <w:sz w:val="28"/>
          <w:szCs w:val="28"/>
        </w:rPr>
        <w:t xml:space="preserve">30 мл/кг в сутки).  В среднем суточный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диурез у детей с ЦНД в возрасте до  4-5 лет не должен быть меньше 1000 мл, в возрасте до 10 лет – 1200-1500 мл, у детей более старшего возраста – 1800-2000 мл.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Особенно тщательный подход к назначению и подбору </w:t>
      </w:r>
      <w:r>
        <w:rPr>
          <w:rFonts w:ascii="Times New Roman" w:hAnsi="Times New Roman" w:cs="Times New Roman"/>
          <w:sz w:val="28"/>
          <w:szCs w:val="28"/>
        </w:rPr>
        <w:t>заместительной терапии препаратами десмопрессина требуется у пациентов, перенесших хирургическое вмешательство по поводу опухоли гипоталамо-гипофизарной области или травматическое повреждение головного мозга. В этих случаях НД может иметь различные вариант</w:t>
      </w:r>
      <w:r>
        <w:rPr>
          <w:rFonts w:ascii="Times New Roman" w:hAnsi="Times New Roman" w:cs="Times New Roman"/>
          <w:sz w:val="28"/>
          <w:szCs w:val="28"/>
        </w:rPr>
        <w:t>ы развития.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Послеоперационный несахарный диабет может начинаться остро с полиурии, со спонтанным разрешением в течение нескольких дней.  Выраженное интраоперационное повреждение или серьезная травма могут привести к развитию перманентного НД. Несахарный ди</w:t>
      </w:r>
      <w:r>
        <w:rPr>
          <w:rFonts w:ascii="Times New Roman" w:hAnsi="Times New Roman" w:cs="Times New Roman"/>
          <w:sz w:val="28"/>
          <w:szCs w:val="28"/>
        </w:rPr>
        <w:t>абет может также иметь «трехфазное» течение: первая фаза полиурии, вызванная повреждением гипоталамо-гипофизарной области и снижением уровня секреции АДГ, длится от нескольких часов (12-36ч) до нескольких дней. Затем наступает вторая фаза, длящаяся от 2 до</w:t>
      </w:r>
      <w:r>
        <w:rPr>
          <w:rFonts w:ascii="Times New Roman" w:hAnsi="Times New Roman" w:cs="Times New Roman"/>
          <w:sz w:val="28"/>
          <w:szCs w:val="28"/>
        </w:rPr>
        <w:t xml:space="preserve"> 14 дней, т.н. «антидиуретическая» фаза, сопровождается неконтролируемым выделением АДГ из поврежденных нейронов. Затем следует третья фаза – фаза полиурии. Во время второй фазы важно не вызвать у пациента гипергидратации, что на фоне неадекватной секреции</w:t>
      </w:r>
      <w:r>
        <w:rPr>
          <w:rFonts w:ascii="Times New Roman" w:hAnsi="Times New Roman" w:cs="Times New Roman"/>
          <w:sz w:val="28"/>
          <w:szCs w:val="28"/>
        </w:rPr>
        <w:t xml:space="preserve"> АДГ приводит к развитию гипонатриемии. У пациентов, перенесших нейрохирургическое вмешательство, независимо от характера течения ЦНД после операции (при условии проведения адекватной инфузионной терапии, введении препаратов десмопрессина), при уровне натр</w:t>
      </w:r>
      <w:r>
        <w:rPr>
          <w:rFonts w:ascii="Times New Roman" w:hAnsi="Times New Roman" w:cs="Times New Roman"/>
          <w:sz w:val="28"/>
          <w:szCs w:val="28"/>
        </w:rPr>
        <w:t>ия в сыворотке ≤145 ммоль/л чаще всего наступает спонтанное исчезновение симптомов НД (как правило, через 3-6 мес после операции). Если у пациентов в послеоперационном периоде уровень  натрия в сыворотке ˃145 ммоль/л, высока вероятность развития перманентн</w:t>
      </w:r>
      <w:r>
        <w:rPr>
          <w:rFonts w:ascii="Times New Roman" w:hAnsi="Times New Roman" w:cs="Times New Roman"/>
          <w:sz w:val="28"/>
          <w:szCs w:val="28"/>
        </w:rPr>
        <w:t xml:space="preserve">ого НД . Эти особенности течения ЦНД в послеоперационном периоде важно учитывать при подборе дозы десмопрессина. Важно предупреждать пациентов и/или их родителей о необходимости контроля выпитой и выделенной жидкости, отмены препарата при появлении отеков </w:t>
      </w:r>
      <w:r>
        <w:rPr>
          <w:rFonts w:ascii="Times New Roman" w:hAnsi="Times New Roman" w:cs="Times New Roman"/>
          <w:sz w:val="28"/>
          <w:szCs w:val="28"/>
        </w:rPr>
        <w:t>и/или изменении баланса жидкости с последующей консультацией у лечащего эндокринолога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375F" w:rsidRDefault="004C5569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В ряде случаев после объемного хирургического вмешательства по поводу опухоли гипоталамо-гипофизарной области у пациентов наряду с полиурией, вызванной развитием ЦН</w:t>
      </w:r>
      <w:r>
        <w:rPr>
          <w:rFonts w:ascii="Times New Roman" w:hAnsi="Times New Roman" w:cs="Times New Roman"/>
          <w:sz w:val="28"/>
          <w:szCs w:val="28"/>
        </w:rPr>
        <w:t xml:space="preserve">Д, наблюдается олиго- или адипсия. Сочетание полиурии с недостаточным поступлением жидкости в организм приводит к быстрому развитию гипернатриемии и гиперосмолярного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состояния. Для предотвращения подобных осложнений  проводится принудительное выпаивание та</w:t>
      </w:r>
      <w:r>
        <w:rPr>
          <w:rFonts w:ascii="Times New Roman" w:hAnsi="Times New Roman" w:cs="Times New Roman"/>
          <w:sz w:val="28"/>
          <w:szCs w:val="28"/>
        </w:rPr>
        <w:t xml:space="preserve">ких пациентов (часто, но небольшими [50-100 мл] объемами воды), параллельно проводится подбор дозы десмопрессина, при необходимости – соответствующая инфузионная терапия.  Целью этих манипуляций является достижение эуволемического состояния и нормализация </w:t>
      </w:r>
      <w:r>
        <w:rPr>
          <w:rFonts w:ascii="Times New Roman" w:hAnsi="Times New Roman" w:cs="Times New Roman"/>
          <w:sz w:val="28"/>
          <w:szCs w:val="28"/>
        </w:rPr>
        <w:t xml:space="preserve">уровня натрия в плазме крови. У этой группы пациентов в течение первых 4-6 мес после операции необходимо проводить  определение уровня натрия и/или осмоляльности крови 1 раз в 10-14 дней, с соответствующей коррекцией дозы десмопрессина.  </w:t>
      </w:r>
    </w:p>
    <w:p w:rsidR="00BA375F" w:rsidRDefault="00BA375F">
      <w:pPr>
        <w:pStyle w:val="a3"/>
        <w:ind w:firstLine="708"/>
      </w:pPr>
    </w:p>
    <w:p w:rsidR="00BA375F" w:rsidRDefault="00BA375F">
      <w:pPr>
        <w:pStyle w:val="a3"/>
        <w:ind w:firstLine="708"/>
      </w:pPr>
    </w:p>
    <w:sectPr w:rsidR="00BA37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45"/>
    <w:multiLevelType w:val="multilevel"/>
    <w:tmpl w:val="685C0B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07BD1502"/>
    <w:multiLevelType w:val="multilevel"/>
    <w:tmpl w:val="2ABE12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49223B"/>
    <w:multiLevelType w:val="multilevel"/>
    <w:tmpl w:val="DAA4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6362E"/>
    <w:multiLevelType w:val="multilevel"/>
    <w:tmpl w:val="797022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793"/>
    <w:multiLevelType w:val="multilevel"/>
    <w:tmpl w:val="EA60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52A"/>
    <w:multiLevelType w:val="multilevel"/>
    <w:tmpl w:val="301AC7F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393A20A5"/>
    <w:multiLevelType w:val="multilevel"/>
    <w:tmpl w:val="390CEB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412B4451"/>
    <w:multiLevelType w:val="multilevel"/>
    <w:tmpl w:val="23886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6C8"/>
    <w:multiLevelType w:val="multilevel"/>
    <w:tmpl w:val="9B9884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58E51AD4"/>
    <w:multiLevelType w:val="multilevel"/>
    <w:tmpl w:val="E75EA3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81BFA"/>
    <w:multiLevelType w:val="multilevel"/>
    <w:tmpl w:val="D452F6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94E3646"/>
    <w:multiLevelType w:val="multilevel"/>
    <w:tmpl w:val="9708AE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C621E50"/>
    <w:multiLevelType w:val="multilevel"/>
    <w:tmpl w:val="1026E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F"/>
    <w:rsid w:val="004C5569"/>
    <w:rsid w:val="00B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2015-03-18T10:15:00Z</dcterms:created>
  <dcterms:modified xsi:type="dcterms:W3CDTF">2015-03-18T10:15:00Z</dcterms:modified>
</cp:coreProperties>
</file>