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C9" w:rsidRDefault="004533C9" w:rsidP="004533C9">
      <w:pPr>
        <w:shd w:val="clear" w:color="auto" w:fill="FFFFFF"/>
        <w:spacing w:after="0" w:line="240" w:lineRule="auto"/>
        <w:ind w:right="28" w:firstLine="567"/>
        <w:jc w:val="center"/>
        <w:rPr>
          <w:rFonts w:ascii="Times New Roman" w:hAnsi="Times New Roman"/>
          <w:b/>
          <w:cap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pacing w:val="-6"/>
          <w:sz w:val="24"/>
          <w:szCs w:val="24"/>
        </w:rPr>
        <w:t>Методика измерения артериального давления на ногах</w:t>
      </w:r>
    </w:p>
    <w:p w:rsidR="004533C9" w:rsidRDefault="004533C9" w:rsidP="004533C9">
      <w:pPr>
        <w:shd w:val="clear" w:color="auto" w:fill="FFFFFF"/>
        <w:spacing w:after="0" w:line="240" w:lineRule="auto"/>
        <w:ind w:right="28" w:firstLine="567"/>
        <w:jc w:val="center"/>
        <w:rPr>
          <w:rFonts w:ascii="Times New Roman" w:hAnsi="Times New Roman"/>
          <w:b/>
          <w:cap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pacing w:val="-6"/>
          <w:sz w:val="24"/>
          <w:szCs w:val="24"/>
        </w:rPr>
        <w:t>( с подбором манжеты)</w:t>
      </w:r>
    </w:p>
    <w:p w:rsidR="00CC4B47" w:rsidRDefault="004533C9" w:rsidP="0038767B">
      <w:pPr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ПРАКТИЧЕСКИЙ НАВЫК</w:t>
      </w:r>
    </w:p>
    <w:p w:rsidR="0038767B" w:rsidRDefault="0038767B" w:rsidP="0038767B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38767B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Рекомендуемые размеры манжет в зависимости от величины окружности плеча</w:t>
      </w:r>
    </w:p>
    <w:p w:rsidR="0038767B" w:rsidRPr="0038767B" w:rsidRDefault="0038767B" w:rsidP="0038767B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7"/>
        <w:gridCol w:w="2232"/>
        <w:gridCol w:w="2159"/>
        <w:gridCol w:w="726"/>
        <w:gridCol w:w="721"/>
      </w:tblGrid>
      <w:tr w:rsidR="0038767B" w:rsidRPr="0038767B" w:rsidTr="00331138">
        <w:trPr>
          <w:cantSplit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Предназначение манжеты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Ширина внутренней к</w:t>
            </w:r>
            <w:r w:rsidRPr="0038767B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а</w:t>
            </w:r>
            <w:r w:rsidRPr="0038767B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меры манжеты, </w:t>
            </w:r>
            <w:proofErr w:type="gramStart"/>
            <w:r w:rsidRPr="0038767B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Длина внутренней к</w:t>
            </w:r>
            <w:r w:rsidRPr="0038767B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а</w:t>
            </w:r>
            <w:r w:rsidRPr="0038767B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меры манжеты, </w:t>
            </w:r>
            <w:proofErr w:type="gramStart"/>
            <w:r w:rsidRPr="0038767B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Окружность, </w:t>
            </w:r>
            <w:proofErr w:type="gramStart"/>
            <w:r w:rsidRPr="0038767B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см</w:t>
            </w:r>
            <w:proofErr w:type="gramEnd"/>
            <w:r w:rsidRPr="0038767B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hyperlink r:id="rId5" w:anchor="s4#s4" w:history="1">
              <w:r w:rsidRPr="0038767B">
                <w:rPr>
                  <w:rFonts w:ascii="Times New Roman" w:hAnsi="Times New Roman"/>
                  <w:bCs/>
                  <w:color w:val="0000FF"/>
                  <w:spacing w:val="-6"/>
                  <w:sz w:val="24"/>
                  <w:szCs w:val="24"/>
                  <w:u w:val="single"/>
                  <w:vertAlign w:val="superscript"/>
                </w:rPr>
                <w:t>*</w:t>
              </w:r>
            </w:hyperlink>
          </w:p>
        </w:tc>
      </w:tr>
      <w:tr w:rsidR="0038767B" w:rsidRPr="0038767B" w:rsidTr="00331138">
        <w:trPr>
          <w:cantSplit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плеча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бедра</w:t>
            </w:r>
          </w:p>
        </w:tc>
      </w:tr>
      <w:tr w:rsidR="0038767B" w:rsidRPr="0038767B" w:rsidTr="0033113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Новорожденные дети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91730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91730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38767B" w:rsidRPr="0038767B" w:rsidTr="0033113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Дети грудного возраста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38767B" w:rsidRPr="0038767B" w:rsidTr="0033113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38767B" w:rsidRPr="0038767B" w:rsidTr="0033113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Крупные дети, подростки и худощ</w:t>
            </w: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</w:t>
            </w: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вые взрослые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38767B" w:rsidRPr="0038767B" w:rsidTr="0033113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38767B" w:rsidRPr="0038767B" w:rsidTr="0033113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Крупные взрослые (люди с развитой мускулатурой или полные люди)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38767B" w:rsidRPr="0038767B" w:rsidTr="0033113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Плечо большого объема</w:t>
            </w: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br/>
              <w:t>Бедро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52</w:t>
            </w:r>
          </w:p>
        </w:tc>
      </w:tr>
    </w:tbl>
    <w:p w:rsidR="0038767B" w:rsidRPr="0038767B" w:rsidRDefault="0038767B" w:rsidP="0038767B">
      <w:pPr>
        <w:spacing w:after="0" w:line="240" w:lineRule="auto"/>
        <w:rPr>
          <w:rFonts w:ascii="Times New Roman" w:hAnsi="Times New Roman"/>
          <w:vanish/>
          <w:color w:val="000000"/>
          <w:spacing w:val="-6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38767B" w:rsidRPr="0038767B" w:rsidTr="00331138">
        <w:trPr>
          <w:tblCellSpacing w:w="15" w:type="dxa"/>
        </w:trPr>
        <w:tc>
          <w:tcPr>
            <w:tcW w:w="0" w:type="auto"/>
            <w:vAlign w:val="center"/>
          </w:tcPr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>Источник</w:t>
            </w:r>
            <w:r w:rsidRPr="0038767B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  <w:lang w:val="en-US"/>
              </w:rPr>
              <w:t xml:space="preserve">: </w:t>
            </w: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/>
              </w:rPr>
              <w:t>National High Blood Pressure Education Program Working Group on High Blood Pressure in Children and Adolescents. The fourth report on the diagnosis, evaluation, and treatment of high blood pre</w:t>
            </w: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/>
              </w:rPr>
              <w:t>s</w:t>
            </w: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/>
              </w:rPr>
              <w:t xml:space="preserve">sure in children and adolescents. </w:t>
            </w:r>
            <w:proofErr w:type="spellStart"/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Pediatrics</w:t>
            </w:r>
            <w:proofErr w:type="spellEnd"/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 2004; 114: 555-576.</w:t>
            </w:r>
          </w:p>
          <w:p w:rsidR="0038767B" w:rsidRPr="0038767B" w:rsidRDefault="0038767B" w:rsidP="00387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767B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>Примечание:</w:t>
            </w:r>
            <w:bookmarkStart w:id="0" w:name="s4"/>
            <w:r w:rsidRPr="0038767B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  <w:vertAlign w:val="superscript"/>
              </w:rPr>
              <w:t>*</w:t>
            </w:r>
            <w:bookmarkEnd w:id="0"/>
            <w:r w:rsidRPr="0038767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Длина резиновой камеры манжеты должна покрывать не менее 80% окружности плеча.</w:t>
            </w:r>
          </w:p>
        </w:tc>
      </w:tr>
    </w:tbl>
    <w:p w:rsidR="006A30EF" w:rsidRPr="006A30EF" w:rsidRDefault="006A30EF" w:rsidP="006A30EF">
      <w:pPr>
        <w:pStyle w:val="a4"/>
        <w:spacing w:before="0" w:beforeAutospacing="0" w:after="0" w:afterAutospacing="0"/>
        <w:jc w:val="both"/>
        <w:rPr>
          <w:color w:val="000000"/>
        </w:rPr>
      </w:pPr>
      <w:r w:rsidRPr="006A30EF">
        <w:rPr>
          <w:color w:val="000000"/>
        </w:rPr>
        <w:t>Измерять артериальное давление (АД) рекомендуется в одни и те же часы после 10 -15 минутного отдыха, трехкратно с интервалом в 3</w:t>
      </w:r>
      <w:r>
        <w:rPr>
          <w:color w:val="000000"/>
        </w:rPr>
        <w:t xml:space="preserve"> </w:t>
      </w:r>
      <w:r w:rsidRPr="006A30EF">
        <w:rPr>
          <w:color w:val="000000"/>
        </w:rPr>
        <w:t>мин. Измерение проводится тонометром. Манжета тонометра до</w:t>
      </w:r>
      <w:r>
        <w:rPr>
          <w:color w:val="000000"/>
        </w:rPr>
        <w:t>лжна соответствовать возрасту (</w:t>
      </w:r>
      <w:r w:rsidRPr="006A30EF">
        <w:rPr>
          <w:color w:val="000000"/>
        </w:rPr>
        <w:t>равна 1\2 окружности плеча). Выпускаются специальные, соответствующие возрасту манжеты, шириной 3,5 – 13 см.</w:t>
      </w:r>
    </w:p>
    <w:p w:rsidR="0038767B" w:rsidRPr="006A30EF" w:rsidRDefault="0038767B" w:rsidP="006A30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30EF" w:rsidRDefault="006A30EF" w:rsidP="006A30EF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6A30EF">
        <w:rPr>
          <w:color w:val="000000"/>
        </w:rPr>
        <w:t xml:space="preserve">Артериальное давление у детей зависит от возраста, пола, величины ударного и минутного объёма сердца, сопротивления сосудов, их эластичности, количества циркулирующей крови, её вязкости. </w:t>
      </w:r>
    </w:p>
    <w:p w:rsidR="006A30EF" w:rsidRDefault="006A30EF" w:rsidP="006A30EF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6A30EF">
        <w:rPr>
          <w:b/>
          <w:color w:val="000000"/>
        </w:rPr>
        <w:t xml:space="preserve">У новорожденного ребёнка максимальное (систолическое) давление составляет 74-76 </w:t>
      </w:r>
      <w:proofErr w:type="spellStart"/>
      <w:r w:rsidRPr="006A30EF">
        <w:rPr>
          <w:b/>
          <w:color w:val="000000"/>
        </w:rPr>
        <w:t>мм</w:t>
      </w:r>
      <w:proofErr w:type="gramStart"/>
      <w:r w:rsidRPr="006A30EF">
        <w:rPr>
          <w:b/>
          <w:color w:val="000000"/>
        </w:rPr>
        <w:t>.р</w:t>
      </w:r>
      <w:proofErr w:type="gramEnd"/>
      <w:r w:rsidRPr="006A30EF">
        <w:rPr>
          <w:b/>
          <w:color w:val="000000"/>
        </w:rPr>
        <w:t>т.ст</w:t>
      </w:r>
      <w:proofErr w:type="spellEnd"/>
      <w:r w:rsidRPr="006A30EF">
        <w:rPr>
          <w:b/>
          <w:color w:val="000000"/>
        </w:rPr>
        <w:t xml:space="preserve">., минимальное (диастолическое)давление составляет 1\2 – 2\3 от максимального. </w:t>
      </w:r>
    </w:p>
    <w:p w:rsidR="00010644" w:rsidRDefault="006A30EF" w:rsidP="006A30EF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6A30EF">
        <w:rPr>
          <w:b/>
          <w:color w:val="000000"/>
        </w:rPr>
        <w:t>Максимальное давление у детей первого года</w:t>
      </w:r>
      <w:r w:rsidRPr="006A30EF">
        <w:rPr>
          <w:rStyle w:val="apple-converted-space"/>
          <w:color w:val="000000"/>
        </w:rPr>
        <w:t> </w:t>
      </w:r>
      <w:r w:rsidRPr="006A30EF">
        <w:rPr>
          <w:rStyle w:val="a5"/>
          <w:color w:val="000000"/>
        </w:rPr>
        <w:t>АД = 76+2п,</w:t>
      </w:r>
      <w:r w:rsidRPr="006A30EF">
        <w:rPr>
          <w:rStyle w:val="apple-converted-space"/>
          <w:color w:val="000000"/>
        </w:rPr>
        <w:t> </w:t>
      </w:r>
      <w:proofErr w:type="gramStart"/>
      <w:r w:rsidRPr="006A30EF">
        <w:rPr>
          <w:color w:val="000000"/>
        </w:rPr>
        <w:t>п</w:t>
      </w:r>
      <w:proofErr w:type="gramEnd"/>
      <w:r w:rsidRPr="006A30EF">
        <w:rPr>
          <w:color w:val="000000"/>
        </w:rPr>
        <w:t xml:space="preserve"> – число месяцев жизни, 76 – максимальное давление новорожденных. В один год максимальное систолическое давление составляет 80-85 мм. рт. ст. – 100 </w:t>
      </w:r>
      <w:proofErr w:type="spellStart"/>
      <w:r w:rsidRPr="006A30EF">
        <w:rPr>
          <w:color w:val="000000"/>
        </w:rPr>
        <w:t>мм</w:t>
      </w:r>
      <w:proofErr w:type="gramStart"/>
      <w:r w:rsidRPr="006A30EF">
        <w:rPr>
          <w:color w:val="000000"/>
        </w:rPr>
        <w:t>.р</w:t>
      </w:r>
      <w:proofErr w:type="gramEnd"/>
      <w:r w:rsidRPr="006A30EF">
        <w:rPr>
          <w:color w:val="000000"/>
        </w:rPr>
        <w:t>т</w:t>
      </w:r>
      <w:proofErr w:type="spellEnd"/>
      <w:r w:rsidRPr="006A30EF">
        <w:rPr>
          <w:color w:val="000000"/>
        </w:rPr>
        <w:t xml:space="preserve">. ст. </w:t>
      </w:r>
    </w:p>
    <w:p w:rsidR="00297951" w:rsidRPr="006A30EF" w:rsidRDefault="00297951" w:rsidP="006A30EF">
      <w:pPr>
        <w:widowControl w:val="0"/>
        <w:autoSpaceDE w:val="0"/>
        <w:autoSpaceDN w:val="0"/>
        <w:adjustRightInd w:val="0"/>
        <w:spacing w:after="0" w:line="240" w:lineRule="auto"/>
        <w:ind w:firstLine="348"/>
        <w:contextualSpacing/>
        <w:jc w:val="both"/>
        <w:rPr>
          <w:rFonts w:ascii="Times New Roman" w:hAnsi="Times New Roman"/>
          <w:sz w:val="24"/>
          <w:szCs w:val="24"/>
        </w:rPr>
      </w:pPr>
      <w:r w:rsidRPr="00010644">
        <w:rPr>
          <w:rFonts w:ascii="Times New Roman" w:hAnsi="Times New Roman"/>
          <w:b/>
          <w:sz w:val="24"/>
          <w:szCs w:val="24"/>
        </w:rPr>
        <w:t>Для определения АД у детей старше года</w:t>
      </w:r>
      <w:r w:rsidRPr="006A30EF">
        <w:rPr>
          <w:rFonts w:ascii="Times New Roman" w:hAnsi="Times New Roman"/>
          <w:sz w:val="24"/>
          <w:szCs w:val="24"/>
        </w:rPr>
        <w:t xml:space="preserve"> можно пользоваться формулами:</w:t>
      </w:r>
    </w:p>
    <w:p w:rsidR="00297951" w:rsidRPr="006A30EF" w:rsidRDefault="00297951" w:rsidP="006A30E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30EF">
        <w:rPr>
          <w:rFonts w:ascii="Times New Roman" w:hAnsi="Times New Roman"/>
          <w:sz w:val="24"/>
          <w:szCs w:val="24"/>
        </w:rPr>
        <w:t>АД</w:t>
      </w:r>
      <w:r w:rsidRPr="006A30EF">
        <w:rPr>
          <w:rFonts w:ascii="Times New Roman" w:hAnsi="Times New Roman"/>
          <w:sz w:val="24"/>
          <w:szCs w:val="24"/>
          <w:vertAlign w:val="subscript"/>
        </w:rPr>
        <w:t>сист</w:t>
      </w:r>
      <w:proofErr w:type="spellEnd"/>
      <w:r w:rsidRPr="006A30EF">
        <w:rPr>
          <w:rFonts w:ascii="Times New Roman" w:hAnsi="Times New Roman"/>
          <w:sz w:val="24"/>
          <w:szCs w:val="24"/>
        </w:rPr>
        <w:t>= 90 + 2</w:t>
      </w:r>
      <w:r w:rsidRPr="006A30EF">
        <w:rPr>
          <w:rFonts w:ascii="Times New Roman" w:hAnsi="Times New Roman"/>
          <w:sz w:val="24"/>
          <w:szCs w:val="24"/>
          <w:lang w:val="en-US"/>
        </w:rPr>
        <w:t>n</w:t>
      </w:r>
      <w:r w:rsidRPr="006A30EF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6A30EF">
        <w:rPr>
          <w:rFonts w:ascii="Times New Roman" w:hAnsi="Times New Roman"/>
          <w:sz w:val="24"/>
          <w:szCs w:val="24"/>
        </w:rPr>
        <w:t>мм</w:t>
      </w:r>
      <w:proofErr w:type="gramStart"/>
      <w:r w:rsidRPr="006A30EF">
        <w:rPr>
          <w:rFonts w:ascii="Times New Roman" w:hAnsi="Times New Roman"/>
          <w:sz w:val="24"/>
          <w:szCs w:val="24"/>
        </w:rPr>
        <w:t>.р</w:t>
      </w:r>
      <w:proofErr w:type="gramEnd"/>
      <w:r w:rsidRPr="006A30EF">
        <w:rPr>
          <w:rFonts w:ascii="Times New Roman" w:hAnsi="Times New Roman"/>
          <w:sz w:val="24"/>
          <w:szCs w:val="24"/>
        </w:rPr>
        <w:t>т.ст</w:t>
      </w:r>
      <w:proofErr w:type="spellEnd"/>
      <w:r w:rsidRPr="006A30EF">
        <w:rPr>
          <w:rFonts w:ascii="Times New Roman" w:hAnsi="Times New Roman"/>
          <w:sz w:val="24"/>
          <w:szCs w:val="24"/>
        </w:rPr>
        <w:t xml:space="preserve">),       АД </w:t>
      </w:r>
      <w:proofErr w:type="spellStart"/>
      <w:r w:rsidRPr="006A30EF">
        <w:rPr>
          <w:rFonts w:ascii="Times New Roman" w:hAnsi="Times New Roman"/>
          <w:sz w:val="24"/>
          <w:szCs w:val="24"/>
          <w:vertAlign w:val="subscript"/>
        </w:rPr>
        <w:t>диаст</w:t>
      </w:r>
      <w:proofErr w:type="spellEnd"/>
      <w:r w:rsidRPr="006A30EF">
        <w:rPr>
          <w:rFonts w:ascii="Times New Roman" w:hAnsi="Times New Roman"/>
          <w:sz w:val="24"/>
          <w:szCs w:val="24"/>
        </w:rPr>
        <w:t xml:space="preserve">-= 60 + </w:t>
      </w:r>
      <w:r w:rsidRPr="006A30EF">
        <w:rPr>
          <w:rFonts w:ascii="Times New Roman" w:hAnsi="Times New Roman"/>
          <w:sz w:val="24"/>
          <w:szCs w:val="24"/>
          <w:lang w:val="en-US"/>
        </w:rPr>
        <w:t>n</w:t>
      </w:r>
      <w:r w:rsidRPr="006A30EF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6A30EF">
        <w:rPr>
          <w:rFonts w:ascii="Times New Roman" w:hAnsi="Times New Roman"/>
          <w:sz w:val="24"/>
          <w:szCs w:val="24"/>
        </w:rPr>
        <w:t>мм.рт.ст</w:t>
      </w:r>
      <w:proofErr w:type="spellEnd"/>
      <w:r w:rsidRPr="006A30EF">
        <w:rPr>
          <w:rFonts w:ascii="Times New Roman" w:hAnsi="Times New Roman"/>
          <w:sz w:val="24"/>
          <w:szCs w:val="24"/>
        </w:rPr>
        <w:t xml:space="preserve">.)      </w:t>
      </w:r>
    </w:p>
    <w:p w:rsidR="00297951" w:rsidRPr="006A30EF" w:rsidRDefault="00297951" w:rsidP="006A30E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30EF">
        <w:rPr>
          <w:rFonts w:ascii="Times New Roman" w:hAnsi="Times New Roman"/>
          <w:sz w:val="24"/>
          <w:szCs w:val="24"/>
        </w:rPr>
        <w:t xml:space="preserve">  где </w:t>
      </w:r>
      <w:r w:rsidRPr="006A30EF">
        <w:rPr>
          <w:rFonts w:ascii="Times New Roman" w:hAnsi="Times New Roman"/>
          <w:sz w:val="24"/>
          <w:szCs w:val="24"/>
          <w:lang w:val="en-US"/>
        </w:rPr>
        <w:t>n</w:t>
      </w:r>
      <w:r w:rsidRPr="006A30EF">
        <w:rPr>
          <w:rFonts w:ascii="Times New Roman" w:hAnsi="Times New Roman"/>
          <w:sz w:val="24"/>
          <w:szCs w:val="24"/>
        </w:rPr>
        <w:t xml:space="preserve"> – возраст в годах.</w:t>
      </w:r>
    </w:p>
    <w:p w:rsidR="003929CA" w:rsidRDefault="00297951" w:rsidP="006A30E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30EF">
        <w:rPr>
          <w:rFonts w:ascii="Times New Roman" w:hAnsi="Times New Roman"/>
          <w:sz w:val="24"/>
          <w:szCs w:val="24"/>
        </w:rPr>
        <w:t xml:space="preserve">У здоровых детей АД в артериях правых и левых конечностей существенно не отличается. </w:t>
      </w:r>
    </w:p>
    <w:p w:rsidR="003929CA" w:rsidRDefault="003929CA" w:rsidP="006A30E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97951" w:rsidRPr="006A30EF" w:rsidRDefault="00297951" w:rsidP="006A30E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0644">
        <w:rPr>
          <w:rFonts w:ascii="Times New Roman" w:hAnsi="Times New Roman"/>
          <w:b/>
          <w:sz w:val="24"/>
          <w:szCs w:val="24"/>
        </w:rPr>
        <w:t>На ногах показатели АД</w:t>
      </w:r>
      <w:r w:rsidRPr="006A30EF">
        <w:rPr>
          <w:rFonts w:ascii="Times New Roman" w:hAnsi="Times New Roman"/>
          <w:sz w:val="24"/>
          <w:szCs w:val="24"/>
        </w:rPr>
        <w:t xml:space="preserve"> на 10-</w:t>
      </w:r>
      <w:smartTag w:uri="urn:schemas-microsoft-com:office:smarttags" w:element="metricconverter">
        <w:smartTagPr>
          <w:attr w:name="ProductID" w:val="15 мм"/>
        </w:smartTagPr>
        <w:r w:rsidRPr="006A30EF">
          <w:rPr>
            <w:rFonts w:ascii="Times New Roman" w:hAnsi="Times New Roman"/>
            <w:sz w:val="24"/>
            <w:szCs w:val="24"/>
          </w:rPr>
          <w:t>15 мм</w:t>
        </w:r>
      </w:smartTag>
      <w:r w:rsidRPr="006A30EF">
        <w:rPr>
          <w:rFonts w:ascii="Times New Roman" w:hAnsi="Times New Roman"/>
          <w:sz w:val="24"/>
          <w:szCs w:val="24"/>
        </w:rPr>
        <w:t xml:space="preserve"> рт. ст. выше</w:t>
      </w:r>
      <w:r w:rsidRPr="006A30EF">
        <w:rPr>
          <w:rFonts w:ascii="Times New Roman" w:hAnsi="Times New Roman"/>
          <w:sz w:val="24"/>
          <w:szCs w:val="24"/>
        </w:rPr>
        <w:t xml:space="preserve">, чем </w:t>
      </w:r>
      <w:r w:rsidRPr="006A30EF">
        <w:rPr>
          <w:rFonts w:ascii="Times New Roman" w:hAnsi="Times New Roman"/>
          <w:sz w:val="24"/>
          <w:szCs w:val="24"/>
        </w:rPr>
        <w:t xml:space="preserve"> на руках.</w:t>
      </w:r>
    </w:p>
    <w:p w:rsidR="00297951" w:rsidRDefault="00297951" w:rsidP="0038767B">
      <w:pPr>
        <w:jc w:val="center"/>
      </w:pPr>
      <w:bookmarkStart w:id="1" w:name="_GoBack"/>
      <w:bookmarkEnd w:id="1"/>
    </w:p>
    <w:sectPr w:rsidR="0029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C9"/>
    <w:rsid w:val="00010644"/>
    <w:rsid w:val="00297951"/>
    <w:rsid w:val="0038767B"/>
    <w:rsid w:val="00391730"/>
    <w:rsid w:val="003929CA"/>
    <w:rsid w:val="004533C9"/>
    <w:rsid w:val="006A30EF"/>
    <w:rsid w:val="00C55487"/>
    <w:rsid w:val="00CC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C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38767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Normal (Web)"/>
    <w:basedOn w:val="a"/>
    <w:uiPriority w:val="99"/>
    <w:semiHidden/>
    <w:unhideWhenUsed/>
    <w:rsid w:val="006A30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30EF"/>
  </w:style>
  <w:style w:type="character" w:styleId="a5">
    <w:name w:val="Strong"/>
    <w:basedOn w:val="a0"/>
    <w:uiPriority w:val="22"/>
    <w:qFormat/>
    <w:rsid w:val="006A30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C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38767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Normal (Web)"/>
    <w:basedOn w:val="a"/>
    <w:uiPriority w:val="99"/>
    <w:semiHidden/>
    <w:unhideWhenUsed/>
    <w:rsid w:val="006A30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30EF"/>
  </w:style>
  <w:style w:type="character" w:styleId="a5">
    <w:name w:val="Strong"/>
    <w:basedOn w:val="a0"/>
    <w:uiPriority w:val="22"/>
    <w:qFormat/>
    <w:rsid w:val="006A3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diosite.ru/recommendations/article.asp?id=6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7</cp:revision>
  <dcterms:created xsi:type="dcterms:W3CDTF">2016-05-10T20:54:00Z</dcterms:created>
  <dcterms:modified xsi:type="dcterms:W3CDTF">2016-05-10T21:06:00Z</dcterms:modified>
</cp:coreProperties>
</file>