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22" w:rsidRPr="00F661BC" w:rsidRDefault="00F00A22" w:rsidP="00F00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В.Ф.Войно-Ясенецкого</w:t>
      </w:r>
      <w:proofErr w:type="spellEnd"/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Министерства здравоохранения Российской Федерации </w:t>
      </w:r>
    </w:p>
    <w:p w:rsidR="00F00A22" w:rsidRPr="00F661BC" w:rsidRDefault="00F00A22" w:rsidP="00F00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Кафедра терапии ИПО</w:t>
      </w:r>
    </w:p>
    <w:p w:rsidR="00F00A22" w:rsidRPr="00F661BC" w:rsidRDefault="00F00A22" w:rsidP="00F00A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</w:t>
      </w:r>
    </w:p>
    <w:p w:rsidR="00F00A22" w:rsidRPr="00F661BC" w:rsidRDefault="00F00A22" w:rsidP="00F00A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F6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Кафедрой, ДМН, профессор</w:t>
      </w: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Гринштейн</w:t>
      </w:r>
      <w:proofErr w:type="spellEnd"/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Исаевич</w:t>
      </w:r>
    </w:p>
    <w:p w:rsidR="00F00A22" w:rsidRPr="00F661BC" w:rsidRDefault="00F00A22" w:rsidP="00F0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Руководитель ординатуры ДМН, профессор</w:t>
      </w:r>
    </w:p>
    <w:p w:rsidR="00F00A22" w:rsidRPr="00F661BC" w:rsidRDefault="00F00A22" w:rsidP="00F00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Елена Георгиевна</w:t>
      </w: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00A22" w:rsidRPr="00F661BC" w:rsidRDefault="00F00A22" w:rsidP="00F00A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61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Реферат</w:t>
      </w: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00A22" w:rsidRPr="00420AEA" w:rsidRDefault="00740FC9" w:rsidP="00F00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Подагра и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гиперурикемия</w:t>
      </w:r>
      <w:proofErr w:type="spellEnd"/>
      <w:r w:rsidR="00D672EB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своевременная терапия </w:t>
      </w:r>
      <w:r w:rsidR="00D672EB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профилактика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заболеваний</w:t>
      </w:r>
      <w:r w:rsidR="007A7E21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.</w:t>
      </w: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22" w:rsidRDefault="00F00A22" w:rsidP="00F00A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22" w:rsidRDefault="00F00A22" w:rsidP="00F00A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Здзярская Олеся Леонидовна </w:t>
      </w: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Ординатор 2-го года обучения специальности Терапия</w:t>
      </w:r>
    </w:p>
    <w:p w:rsidR="00F00A22" w:rsidRPr="00F661BC" w:rsidRDefault="00F00A22" w:rsidP="00F00A2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22" w:rsidRPr="00F661BC" w:rsidRDefault="00F00A22" w:rsidP="00F00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22" w:rsidRDefault="00F00A22" w:rsidP="00F00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22" w:rsidRPr="00F661BC" w:rsidRDefault="00F00A22" w:rsidP="00F00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A22" w:rsidRPr="00F661BC" w:rsidRDefault="00F00A22" w:rsidP="00F00A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2022</w:t>
      </w:r>
    </w:p>
    <w:p w:rsidR="003D1582" w:rsidRPr="00333764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32"/>
          <w:szCs w:val="28"/>
          <w:shd w:val="clear" w:color="auto" w:fill="FFFFFF"/>
        </w:rPr>
      </w:pPr>
      <w:r w:rsidRPr="00333764">
        <w:rPr>
          <w:rStyle w:val="a3"/>
          <w:rFonts w:ascii="Times New Roman" w:hAnsi="Times New Roman" w:cs="Times New Roman"/>
          <w:color w:val="202124"/>
          <w:sz w:val="32"/>
          <w:szCs w:val="28"/>
          <w:shd w:val="clear" w:color="auto" w:fill="FFFFFF"/>
        </w:rPr>
        <w:lastRenderedPageBreak/>
        <w:t>Содержание</w:t>
      </w:r>
    </w:p>
    <w:p w:rsidR="003D1582" w:rsidRPr="003D1582" w:rsidRDefault="003D1582" w:rsidP="003D1582">
      <w:pPr>
        <w:pStyle w:val="a6"/>
        <w:numPr>
          <w:ilvl w:val="0"/>
          <w:numId w:val="20"/>
        </w:numPr>
        <w:spacing w:line="360" w:lineRule="auto"/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</w:pPr>
      <w:r w:rsidRPr="003D1582"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Введение</w:t>
      </w:r>
    </w:p>
    <w:p w:rsidR="003D1582" w:rsidRPr="003D1582" w:rsidRDefault="00740FC9" w:rsidP="003D1582">
      <w:pPr>
        <w:pStyle w:val="a6"/>
        <w:numPr>
          <w:ilvl w:val="0"/>
          <w:numId w:val="20"/>
        </w:numPr>
        <w:spacing w:line="360" w:lineRule="auto"/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</w:pPr>
      <w:r w:rsidRPr="00740F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Подагра и </w:t>
      </w:r>
      <w:proofErr w:type="spellStart"/>
      <w:r w:rsidRPr="00740F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гиперурикемия</w:t>
      </w:r>
      <w:proofErr w:type="spellEnd"/>
      <w:r w:rsidRPr="00740F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: основные понятия</w:t>
      </w:r>
    </w:p>
    <w:p w:rsidR="003D1582" w:rsidRPr="003D1582" w:rsidRDefault="00740FC9" w:rsidP="003D1582">
      <w:pPr>
        <w:pStyle w:val="a6"/>
        <w:numPr>
          <w:ilvl w:val="0"/>
          <w:numId w:val="20"/>
        </w:numPr>
        <w:spacing w:line="360" w:lineRule="auto"/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</w:pPr>
      <w:proofErr w:type="spellStart"/>
      <w:r w:rsidRPr="00740F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Гиперурикемия</w:t>
      </w:r>
      <w:proofErr w:type="spellEnd"/>
      <w:r w:rsidRPr="00740F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и </w:t>
      </w:r>
      <w:proofErr w:type="gramStart"/>
      <w:r w:rsidRPr="00740F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сердечно-сосудистые</w:t>
      </w:r>
      <w:proofErr w:type="gramEnd"/>
      <w:r w:rsidRPr="00740FC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заболевания: взаимосвязь и механизмы развития</w:t>
      </w:r>
    </w:p>
    <w:p w:rsidR="00740FC9" w:rsidRDefault="00740FC9" w:rsidP="00740FC9">
      <w:pPr>
        <w:pStyle w:val="a6"/>
        <w:numPr>
          <w:ilvl w:val="0"/>
          <w:numId w:val="20"/>
        </w:numPr>
        <w:spacing w:line="360" w:lineRule="auto"/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</w:pPr>
      <w:r w:rsidRPr="00740FC9"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Тактика ведения больных с ГУ и ССЗ</w:t>
      </w:r>
    </w:p>
    <w:p w:rsidR="00740FC9" w:rsidRDefault="00740FC9" w:rsidP="00740FC9">
      <w:pPr>
        <w:pStyle w:val="a6"/>
        <w:numPr>
          <w:ilvl w:val="0"/>
          <w:numId w:val="20"/>
        </w:numPr>
        <w:spacing w:line="360" w:lineRule="auto"/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</w:pPr>
      <w:r w:rsidRPr="00740FC9"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 xml:space="preserve">Тактика </w:t>
      </w:r>
      <w:proofErr w:type="spellStart"/>
      <w:r w:rsidRPr="00740FC9"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уратснижающей</w:t>
      </w:r>
      <w:proofErr w:type="spellEnd"/>
      <w:r w:rsidRPr="00740FC9"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 xml:space="preserve"> терапии</w:t>
      </w:r>
    </w:p>
    <w:p w:rsidR="00740FC9" w:rsidRDefault="00740FC9" w:rsidP="00740FC9">
      <w:pPr>
        <w:pStyle w:val="a6"/>
        <w:numPr>
          <w:ilvl w:val="0"/>
          <w:numId w:val="20"/>
        </w:numPr>
        <w:spacing w:line="360" w:lineRule="auto"/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</w:pPr>
      <w:r w:rsidRPr="00740FC9"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Заключение</w:t>
      </w:r>
    </w:p>
    <w:p w:rsidR="00740FC9" w:rsidRPr="003D1582" w:rsidRDefault="00740FC9" w:rsidP="00740FC9">
      <w:pPr>
        <w:pStyle w:val="a6"/>
        <w:numPr>
          <w:ilvl w:val="0"/>
          <w:numId w:val="20"/>
        </w:numPr>
        <w:spacing w:line="360" w:lineRule="auto"/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02124"/>
          <w:sz w:val="28"/>
          <w:szCs w:val="28"/>
          <w:shd w:val="clear" w:color="auto" w:fill="FFFFFF"/>
        </w:rPr>
        <w:t>Список литературы</w:t>
      </w: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3D1582" w:rsidRDefault="003D1582" w:rsidP="003D1582">
      <w:pPr>
        <w:spacing w:line="360" w:lineRule="auto"/>
        <w:ind w:firstLine="708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2A634E" w:rsidRDefault="002A634E" w:rsidP="002A634E">
      <w:pPr>
        <w:spacing w:line="360" w:lineRule="auto"/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740FC9" w:rsidRPr="00740FC9" w:rsidRDefault="00740FC9" w:rsidP="00740F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C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В последние годы исследователи и врачи широко обсуждают связь подагры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гиперурикемии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с риском развития кардиоваскулярной патологии. В связи с этим важно своевременно выявлять и корректировать нарушения пуринового, липидного и углеводного обмена, а также проводить мероприятия, направленные на предотвращение кардиоваскулярных осложнений, что полностью соответствует положениям действующих европейских рекомендаций по ведению пациентов с подагрой.</w:t>
      </w:r>
    </w:p>
    <w:p w:rsidR="00740FC9" w:rsidRDefault="00740FC9" w:rsidP="00740F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4D8B" w:rsidRPr="00740FC9" w:rsidRDefault="002A634E" w:rsidP="00740F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C9">
        <w:rPr>
          <w:rFonts w:ascii="Times New Roman" w:hAnsi="Times New Roman" w:cs="Times New Roman"/>
          <w:b/>
          <w:sz w:val="28"/>
          <w:szCs w:val="28"/>
        </w:rPr>
        <w:t xml:space="preserve">Подагра и </w:t>
      </w:r>
      <w:proofErr w:type="spellStart"/>
      <w:r w:rsidRPr="00740FC9">
        <w:rPr>
          <w:rFonts w:ascii="Times New Roman" w:hAnsi="Times New Roman" w:cs="Times New Roman"/>
          <w:b/>
          <w:sz w:val="28"/>
          <w:szCs w:val="28"/>
        </w:rPr>
        <w:t>гиперурикемия</w:t>
      </w:r>
      <w:proofErr w:type="spellEnd"/>
      <w:r w:rsidRPr="00740FC9">
        <w:rPr>
          <w:rFonts w:ascii="Times New Roman" w:hAnsi="Times New Roman" w:cs="Times New Roman"/>
          <w:b/>
          <w:sz w:val="28"/>
          <w:szCs w:val="28"/>
        </w:rPr>
        <w:t>: основные понятия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Подагра – системное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тофусное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заболевание, включающее рецидивирующий артрит периферических суставов вследствие перенасыщения жидкостей организма мочевой кислотой (МК) у лиц с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гиперурикемией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(ГУ) и отложением кристаллов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моноурата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натрия (МУН) в различных тканях. Болезнь обусловлена внешними средовыми и/или генетическими факторами.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40FC9">
        <w:rPr>
          <w:rFonts w:ascii="Times New Roman" w:hAnsi="Times New Roman" w:cs="Times New Roman"/>
          <w:sz w:val="28"/>
          <w:szCs w:val="28"/>
        </w:rPr>
        <w:t>Бессимптомная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ГУ представляет собой повышение концентрации МК (&gt;6,8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404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>/л) без суставного синдрома и может длиться годами и выявляться случайно при обследовании. Причиной ГУ в 10% случаев служит избыточное образование МК, в 90%</w:t>
      </w:r>
      <w:r w:rsidR="00740FC9">
        <w:rPr>
          <w:rFonts w:ascii="Times New Roman" w:hAnsi="Times New Roman" w:cs="Times New Roman"/>
          <w:sz w:val="28"/>
          <w:szCs w:val="28"/>
        </w:rPr>
        <w:t xml:space="preserve"> – нарушение ее выведения</w:t>
      </w:r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Кристаллы МУН первично осаждаются в тканях с более низкой температурой и слабой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васкуляризацией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(сухожилия, связки, отдаленные периферические участки суставов) или без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васкуляризации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(хрящи ушной раковины). Формирование и отложение кристаллов МУН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зависят от концентрации МК,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температуры и регулируются концентрацией хлорида натрия и присутствием некоторых компонентов соединительной ткани, вероятно </w:t>
      </w:r>
      <w:r w:rsidR="00740FC9">
        <w:rPr>
          <w:rFonts w:ascii="Times New Roman" w:hAnsi="Times New Roman" w:cs="Times New Roman"/>
          <w:sz w:val="28"/>
          <w:szCs w:val="28"/>
        </w:rPr>
        <w:t xml:space="preserve">фрагментов </w:t>
      </w:r>
      <w:proofErr w:type="spellStart"/>
      <w:r w:rsidR="00740FC9">
        <w:rPr>
          <w:rFonts w:ascii="Times New Roman" w:hAnsi="Times New Roman" w:cs="Times New Roman"/>
          <w:sz w:val="28"/>
          <w:szCs w:val="28"/>
        </w:rPr>
        <w:t>протеогликанов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lastRenderedPageBreak/>
        <w:t>О распространенности ГУ в российской популяции пациентов с артериальной гипертонией (АГ), протекающей на фоне метаболического синдрома (МС) и сахарного диабета (СД), позволяют судить результаты наблюдательной программы, которая проводилась в 2017 г. при участии 880 врачей в 395 лечебно-профилактических учреждениях. В программу было включено 9617 пациентов в возрасте 30–80 лет (4176 мужчин (43,42%), 5441 женщина (56,58%)). В результате проведенного анализа данных ГУ была выявлена у 37% мужчин и 63% женщин. Повышенный уровень МК</w:t>
      </w:r>
      <w:r w:rsidR="00FC4D8B" w:rsidRPr="00740FC9">
        <w:rPr>
          <w:rFonts w:ascii="Times New Roman" w:hAnsi="Times New Roman" w:cs="Times New Roman"/>
          <w:sz w:val="28"/>
          <w:szCs w:val="28"/>
        </w:rPr>
        <w:t xml:space="preserve">, </w:t>
      </w:r>
      <w:r w:rsidRPr="00740FC9">
        <w:rPr>
          <w:rFonts w:ascii="Times New Roman" w:hAnsi="Times New Roman" w:cs="Times New Roman"/>
          <w:sz w:val="28"/>
          <w:szCs w:val="28"/>
        </w:rPr>
        <w:t xml:space="preserve">ассоциированный с МС, отмечен преимущественно у пациентов пожилого возраста (60–69 лет) с АГ, СД и суставным синдромом. </w:t>
      </w:r>
    </w:p>
    <w:p w:rsidR="00740FC9" w:rsidRPr="00740FC9" w:rsidRDefault="002A634E" w:rsidP="00740F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0FC9">
        <w:rPr>
          <w:rFonts w:ascii="Times New Roman" w:hAnsi="Times New Roman" w:cs="Times New Roman"/>
          <w:b/>
          <w:sz w:val="28"/>
          <w:szCs w:val="28"/>
        </w:rPr>
        <w:t>Гиперурикемия</w:t>
      </w:r>
      <w:proofErr w:type="spellEnd"/>
      <w:r w:rsidRPr="00740FC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740FC9">
        <w:rPr>
          <w:rFonts w:ascii="Times New Roman" w:hAnsi="Times New Roman" w:cs="Times New Roman"/>
          <w:b/>
          <w:sz w:val="28"/>
          <w:szCs w:val="28"/>
        </w:rPr>
        <w:t>сердечно-сосудистые</w:t>
      </w:r>
      <w:proofErr w:type="gramEnd"/>
      <w:r w:rsidRPr="00740FC9">
        <w:rPr>
          <w:rFonts w:ascii="Times New Roman" w:hAnsi="Times New Roman" w:cs="Times New Roman"/>
          <w:b/>
          <w:sz w:val="28"/>
          <w:szCs w:val="28"/>
        </w:rPr>
        <w:t xml:space="preserve"> заболевания: взаимосвязь и механизмы развития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Взаимосвязь между повышением уровня МК в сыворотке крови и развитием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заболеваний (ССЗ) обсуждается не один десяток лет. Впервые гипотеза об их ассоциации была опубликована в “Британском медицинском журнале” в 1886 г., но только в настоящее время идея истинного причинно-следственного взаимодействия нашла свое подтверждение благодаря данным, полученным в многочисленных клинико-эпидемиологических исследованиях. В ближайшем будущем вследствие возрастания распространенности ГУ, ожирения и нарушений метаболизма, а также в результате старения человечества ожидается еще большее ув</w:t>
      </w:r>
      <w:r w:rsidR="00740FC9">
        <w:rPr>
          <w:rFonts w:ascii="Times New Roman" w:hAnsi="Times New Roman" w:cs="Times New Roman"/>
          <w:sz w:val="28"/>
          <w:szCs w:val="28"/>
        </w:rPr>
        <w:t>еличение частоты ГУ и ССЗ</w:t>
      </w:r>
      <w:r w:rsidRPr="00740FC9">
        <w:rPr>
          <w:rFonts w:ascii="Times New Roman" w:hAnsi="Times New Roman" w:cs="Times New Roman"/>
          <w:sz w:val="28"/>
          <w:szCs w:val="28"/>
        </w:rPr>
        <w:t>. Этот феномен связывают с быстрым экономическим развитием и</w:t>
      </w:r>
      <w:r w:rsidR="00D672EB">
        <w:rPr>
          <w:rFonts w:ascii="Times New Roman" w:hAnsi="Times New Roman" w:cs="Times New Roman"/>
          <w:sz w:val="28"/>
          <w:szCs w:val="28"/>
        </w:rPr>
        <w:t xml:space="preserve"> изменением образа жизни общест</w:t>
      </w:r>
      <w:r w:rsidRPr="00740FC9">
        <w:rPr>
          <w:rFonts w:ascii="Times New Roman" w:hAnsi="Times New Roman" w:cs="Times New Roman"/>
          <w:sz w:val="28"/>
          <w:szCs w:val="28"/>
        </w:rPr>
        <w:t>ва с более высоким социаль</w:t>
      </w:r>
      <w:r w:rsidR="00740FC9">
        <w:rPr>
          <w:rFonts w:ascii="Times New Roman" w:hAnsi="Times New Roman" w:cs="Times New Roman"/>
          <w:sz w:val="28"/>
          <w:szCs w:val="28"/>
        </w:rPr>
        <w:t>но-экономическим статусом</w:t>
      </w:r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Гиперурикемия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на фоне постоянного хронического воспаления с суставным синдромом при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тофусной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подагре способствует возникновению ССЗ. В крупных эпидемиологических исследованиях было продемонстрировано, что ГУ и подагра являются независимыми факторами риска развития фатальных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осложнений; тем самым, ГУ </w:t>
      </w:r>
      <w:r w:rsidRPr="00740FC9">
        <w:rPr>
          <w:rFonts w:ascii="Times New Roman" w:hAnsi="Times New Roman" w:cs="Times New Roman"/>
          <w:sz w:val="28"/>
          <w:szCs w:val="28"/>
        </w:rPr>
        <w:lastRenderedPageBreak/>
        <w:t>не только ухудшает качество жизни, но и серьезно сокра</w:t>
      </w:r>
      <w:r w:rsidR="00740FC9">
        <w:rPr>
          <w:rFonts w:ascii="Times New Roman" w:hAnsi="Times New Roman" w:cs="Times New Roman"/>
          <w:sz w:val="28"/>
          <w:szCs w:val="28"/>
        </w:rPr>
        <w:t>щает ее продолжительность</w:t>
      </w:r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Повышение распространенности ГУ связано преимущественно с факторами образа жизни, такими как обильное потребление богатой пуринами пищи (мяса, гусиных потрохов, морепродуктов), фруктозы, злоупотребление алкоголем, прием небольших доз аспирина и мочегонных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тиазидового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ряда. Нарушение метаболизма является фактором риска развития ГУ более чем у 50% пациентов с подагрой. Подагра тесно связана не только с АГ и заболеваниями</w:t>
      </w:r>
      <w:r w:rsidR="00740FC9">
        <w:rPr>
          <w:rFonts w:ascii="Times New Roman" w:hAnsi="Times New Roman" w:cs="Times New Roman"/>
          <w:sz w:val="28"/>
          <w:szCs w:val="28"/>
        </w:rPr>
        <w:t xml:space="preserve"> сосудов, но и с СД и ожирением.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Во многих исследованиях выявлены корреляционные связи между уровнем МК, АГ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дислипидемией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гипертриглицеридемией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), при этом в качестве связующего звена выступает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(ИР), отмечена прямая корреляционная связь между ГУ, систолическим и диастолическим артериальным давлением (АД). При подагре в большей степени повышается диастолическое и среднее АД. В нескольких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проспективных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исследованиях была продемонстрирована связь между уровнем МК и развитием ССЗ у пациентов с АГ, которая усиливалась на фоне лечения диуретиками. Повышение уровня МК на 1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у пациентов с АГ приводит к увеличен</w:t>
      </w:r>
      <w:r w:rsidR="00740FC9">
        <w:rPr>
          <w:rFonts w:ascii="Times New Roman" w:hAnsi="Times New Roman" w:cs="Times New Roman"/>
          <w:sz w:val="28"/>
          <w:szCs w:val="28"/>
        </w:rPr>
        <w:t>ию частоты ССЗ на 10%</w:t>
      </w:r>
      <w:r w:rsidRPr="00740FC9">
        <w:rPr>
          <w:rFonts w:ascii="Times New Roman" w:hAnsi="Times New Roman" w:cs="Times New Roman"/>
          <w:sz w:val="28"/>
          <w:szCs w:val="28"/>
        </w:rPr>
        <w:t xml:space="preserve">. По данным E. </w:t>
      </w:r>
      <w:proofErr w:type="spellStart"/>
      <w:proofErr w:type="gramStart"/>
      <w:r w:rsidRPr="00740FC9">
        <w:rPr>
          <w:rFonts w:ascii="Times New Roman" w:hAnsi="Times New Roman" w:cs="Times New Roman"/>
          <w:sz w:val="28"/>
          <w:szCs w:val="28"/>
        </w:rPr>
        <w:t>Borona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., ИР у больных АГ выявлялась в 58% случаев, при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гипертриглицеридемии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– в 84,2%, при снижении уровня холестерина липопротеидов высокой плотности – в 88,1%, при нарушении толерантности к глюкозе – в 65,9%, при сочетании с СД 2-го типа – в 83,9</w:t>
      </w:r>
      <w:r w:rsidR="003B2A7D">
        <w:rPr>
          <w:rFonts w:ascii="Times New Roman" w:hAnsi="Times New Roman" w:cs="Times New Roman"/>
          <w:sz w:val="28"/>
          <w:szCs w:val="28"/>
        </w:rPr>
        <w:t>%, при наличии ГУ – в 62,8%</w:t>
      </w:r>
      <w:r w:rsidRPr="00740FC9">
        <w:rPr>
          <w:rFonts w:ascii="Times New Roman" w:hAnsi="Times New Roman" w:cs="Times New Roman"/>
          <w:sz w:val="28"/>
          <w:szCs w:val="28"/>
        </w:rPr>
        <w:t>. В современных зарубежных исследованиях была выявлена прямая линейная зависимость между наличием ИР и выраженностью ГУ у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больных подагрой, которая становилась более значимой при сочетании с висцеральным ожирением, внося свою лепту в развитие ат</w:t>
      </w:r>
      <w:r w:rsidR="003B2A7D">
        <w:rPr>
          <w:rFonts w:ascii="Times New Roman" w:hAnsi="Times New Roman" w:cs="Times New Roman"/>
          <w:sz w:val="28"/>
          <w:szCs w:val="28"/>
        </w:rPr>
        <w:t>еросклероза у таких больных</w:t>
      </w:r>
      <w:r w:rsidRPr="00740FC9">
        <w:rPr>
          <w:rFonts w:ascii="Times New Roman" w:hAnsi="Times New Roman" w:cs="Times New Roman"/>
          <w:sz w:val="28"/>
          <w:szCs w:val="28"/>
        </w:rPr>
        <w:t xml:space="preserve">. Предполагают, что при ожирении не только снижается почечная экскреция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>, чем можно отчасти объяснить ГУ, но и значител</w:t>
      </w:r>
      <w:r w:rsidR="003B2A7D">
        <w:rPr>
          <w:rFonts w:ascii="Times New Roman" w:hAnsi="Times New Roman" w:cs="Times New Roman"/>
          <w:sz w:val="28"/>
          <w:szCs w:val="28"/>
        </w:rPr>
        <w:t>ьно возрастает их продукция</w:t>
      </w:r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lastRenderedPageBreak/>
        <w:t xml:space="preserve">К числу основных механизмов развития АГ и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нарушений при подагре относится ассоциация ИР с повышенной сим</w:t>
      </w:r>
      <w:r w:rsidR="003B2A7D">
        <w:rPr>
          <w:rFonts w:ascii="Times New Roman" w:hAnsi="Times New Roman" w:cs="Times New Roman"/>
          <w:sz w:val="28"/>
          <w:szCs w:val="28"/>
        </w:rPr>
        <w:t>патической активностью, обуслов</w:t>
      </w:r>
      <w:r w:rsidRPr="00740FC9">
        <w:rPr>
          <w:rFonts w:ascii="Times New Roman" w:hAnsi="Times New Roman" w:cs="Times New Roman"/>
          <w:sz w:val="28"/>
          <w:szCs w:val="28"/>
        </w:rPr>
        <w:t xml:space="preserve">ливающей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антинатрийуретический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эффект, активацию ренин-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ангиотензинальдостероновой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системы,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прессорное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действие на стенки сосудов и их спазм, что увеличивает сердечный выброс и приводит к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гиперволемии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 Гипоталамо-гипофизарная система активируется также под действием лептина, что приводит к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гиперсимпат</w:t>
      </w:r>
      <w:r w:rsidR="003B2A7D">
        <w:rPr>
          <w:rFonts w:ascii="Times New Roman" w:hAnsi="Times New Roman" w:cs="Times New Roman"/>
          <w:sz w:val="28"/>
          <w:szCs w:val="28"/>
        </w:rPr>
        <w:t>икотонии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и повышению АД</w:t>
      </w:r>
      <w:r w:rsidRPr="00740FC9">
        <w:rPr>
          <w:rFonts w:ascii="Times New Roman" w:hAnsi="Times New Roman" w:cs="Times New Roman"/>
          <w:sz w:val="28"/>
          <w:szCs w:val="28"/>
        </w:rPr>
        <w:t xml:space="preserve">. В результате развивающейся в указанных условиях тканевой ишемии происходит стимулирование клеточного распада энергоемкой субстанции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аденозинтрифосфата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до аденозина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ксантина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 повышение выработки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ксантиноксидазы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 Под действием последней осуществляется расщепление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ксантина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что приводит к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гиперпродукции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МК и свободных радикалов О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, особенно в условиях развития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реперфуз</w:t>
      </w:r>
      <w:r w:rsidR="003B2A7D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при ишемическом повреждении</w:t>
      </w:r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Связь ГУ c патологией сосудов была выявлена в нескольких экспериментальных моделях. У грызунов ГУ вызывали путем ингибирования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уриказы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назначения диеты, богатой фруктозой, или удаления транспортера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уратов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GLUT-9 (кишечный транспортер глюкозы 9), что приводило к возникновению АГ и других признаков МС, а также к развитию атеросклероза сосудов почек. Данные исследований на клеточно-молекулярном уровне убедительно продемонстрировали, что высокий уровень МК вызывал активацию ренин-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ангиотензиновой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системы, снижение активности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синтазы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оксида азота, стимулировал пролиферацию гладкомышечных клеток кровеносных сосудов и способствовал развитию ИР. В проведенных исследованиях был объяснен механизм, по которому внутриклеточная растворенная МК может приводить к повышению уровня воспалительных медиаторов, повреждать эндотелий и стенки артерий, инициировать пролиферацию гладкомышечных клеток сосудов в противопоставление ее классическим антиоксидантным свойствам, которые, как правило, ограничены ее внеклеточным эффектом. При этом АГ и </w:t>
      </w:r>
      <w:r w:rsidRPr="00740FC9">
        <w:rPr>
          <w:rFonts w:ascii="Times New Roman" w:hAnsi="Times New Roman" w:cs="Times New Roman"/>
          <w:sz w:val="28"/>
          <w:szCs w:val="28"/>
        </w:rPr>
        <w:lastRenderedPageBreak/>
        <w:t>некоторые другие симптомы МС удавалось блокировать на раннем этапе путем прим</w:t>
      </w:r>
      <w:r w:rsidR="003B2A7D">
        <w:rPr>
          <w:rFonts w:ascii="Times New Roman" w:hAnsi="Times New Roman" w:cs="Times New Roman"/>
          <w:sz w:val="28"/>
          <w:szCs w:val="28"/>
        </w:rPr>
        <w:t xml:space="preserve">енения 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уратснижающих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В исследовании S.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Ouppatham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включавшем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более 5500 тайских военных, было установлено, что ГУ способствует повышению систолического и диастолического АД. Это исследование интересно тем, что перед оценкой распространенности АГ у обследованных лиц с ГУ из анализа были исключены пациенты, имеющие потенциальные факторы риска АГ, в том числе признаки поражения почек, не связанные с ГУ. Авторам удалось доказать, что ГУ является независимым фактором</w:t>
      </w:r>
      <w:r w:rsidR="003B2A7D">
        <w:rPr>
          <w:rFonts w:ascii="Times New Roman" w:hAnsi="Times New Roman" w:cs="Times New Roman"/>
          <w:sz w:val="28"/>
          <w:szCs w:val="28"/>
        </w:rPr>
        <w:t xml:space="preserve"> риска развития АГ. </w:t>
      </w:r>
      <w:r w:rsidRPr="00740FC9">
        <w:rPr>
          <w:rFonts w:ascii="Times New Roman" w:hAnsi="Times New Roman" w:cs="Times New Roman"/>
          <w:sz w:val="28"/>
          <w:szCs w:val="28"/>
        </w:rPr>
        <w:t>Помимо влияния ГУ на формирование коронарного атеросклероза в ряде исследований отмечена ее тесная связь с атеросклеротическим поражением сонных артерий, инсультом, пре эк</w:t>
      </w:r>
      <w:r w:rsidR="003B2A7D">
        <w:rPr>
          <w:rFonts w:ascii="Times New Roman" w:hAnsi="Times New Roman" w:cs="Times New Roman"/>
          <w:sz w:val="28"/>
          <w:szCs w:val="28"/>
        </w:rPr>
        <w:t>лампсией и сосудистой деменцией.</w:t>
      </w:r>
    </w:p>
    <w:p w:rsidR="00FC4D8B" w:rsidRPr="00740FC9" w:rsidRDefault="002A634E" w:rsidP="00740F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C9">
        <w:rPr>
          <w:rFonts w:ascii="Times New Roman" w:hAnsi="Times New Roman" w:cs="Times New Roman"/>
          <w:b/>
          <w:sz w:val="28"/>
          <w:szCs w:val="28"/>
        </w:rPr>
        <w:t>Тактика ведения больных с ГУ и ССЗ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>Лечение подагры у большинства больных по-прежнему является далеко не оптимальным, особенно у лиц пожилого возраста. Только 50% пациентов, страдающих этим заболеванием, получают терапию, снижающую уровень МК в сыворотке крови, и даже в этом случае дозы препаратов недостаточны для эффективного сни</w:t>
      </w:r>
      <w:r w:rsidR="003B2A7D">
        <w:rPr>
          <w:rFonts w:ascii="Times New Roman" w:hAnsi="Times New Roman" w:cs="Times New Roman"/>
          <w:sz w:val="28"/>
          <w:szCs w:val="28"/>
        </w:rPr>
        <w:t xml:space="preserve">жения ее уровня </w:t>
      </w:r>
      <w:proofErr w:type="gramStart"/>
      <w:r w:rsidR="003B2A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B2A7D">
        <w:rPr>
          <w:rFonts w:ascii="Times New Roman" w:hAnsi="Times New Roman" w:cs="Times New Roman"/>
          <w:sz w:val="28"/>
          <w:szCs w:val="28"/>
        </w:rPr>
        <w:t xml:space="preserve"> целевого</w:t>
      </w:r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Одной из основных задач в алгоритме ведения пациентов с подагрой является рационализация терапии с акцентом на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факторах риска и метаболической безопасности препаратов. До сих пор в большинстве случаев врачи ограничивались лишь рекомендациями по диете, основываясь на ограничении потребления пуринов и алкоголя. Неоднократно отмечалось, что среди больных подагрой еженедельный прием алкоголя в 2 раза выше, чем у лиц контрольной группы такого же пола, возраста и с такой же массой тела. Прием алкоголя, изолированно или в сочетании с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высокопуриновой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пищей, оказывает больший эффект на сывороточное содержание МК, чем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высокопуриновая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диета. Считается, что недостаточная </w:t>
      </w:r>
      <w:r w:rsidRPr="00740FC9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умеренных доз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проявляющаяся атаками артрита, является отражением того, что больной продолжает принимать алкоголь, вызывающий быстрое изменение концентрации МК.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Механизм действия алкоголя заключается не только в высоком содержании пуриновых компонентов в ряде напитков, например в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пиве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и вине. Острый алкогольный эксцесс приводит к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гиперлактатемии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оказывающей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тормозящее влияние на экскрецию МК. Такой же эффект оказывает свинец, содержащийся в портвейне и виски.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Метаболизируясь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 организме, этанол стимулирует образование пуринов. И наконец, этанол ингибирует преобразование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 его активный метаболит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оксипуринол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в связи с чем экскреция почками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неметаболизированного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возрастает, а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уратс</w:t>
      </w:r>
      <w:r w:rsidR="003B2A7D">
        <w:rPr>
          <w:rFonts w:ascii="Times New Roman" w:hAnsi="Times New Roman" w:cs="Times New Roman"/>
          <w:sz w:val="28"/>
          <w:szCs w:val="28"/>
        </w:rPr>
        <w:t>нижающий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эффект уменьшается</w:t>
      </w:r>
      <w:r w:rsidRPr="00740FC9">
        <w:rPr>
          <w:rFonts w:ascii="Times New Roman" w:hAnsi="Times New Roman" w:cs="Times New Roman"/>
          <w:sz w:val="28"/>
          <w:szCs w:val="28"/>
        </w:rPr>
        <w:t xml:space="preserve">. Недавно было отмечено, что снижение массы тела, достигаемое путем умеренного ограничения потребления углеводов и уменьшения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калоража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пищи в сочетании с пропорциональным повышением потребления белка и ненасыщенных жирных кислот, приводило у больных подагрой к значительному снижению уровня МК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>. Эти данные свидетельствуют о необходимости пересмотра рекомендаций по</w:t>
      </w:r>
      <w:r w:rsidR="003B2A7D">
        <w:rPr>
          <w:rFonts w:ascii="Times New Roman" w:hAnsi="Times New Roman" w:cs="Times New Roman"/>
          <w:sz w:val="28"/>
          <w:szCs w:val="28"/>
        </w:rPr>
        <w:t xml:space="preserve"> диете для больных подагрой</w:t>
      </w:r>
      <w:r w:rsidRPr="00740F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У больных подагрой важнейшее значение имеет метаболическая безопасность препаратов, применяемых для лечения АГ, ишемической болезни сердца, хронической сердечной недостаточности (ХСН). Под этим понятием следует подразумевать влияние не только на липидный и углеводный, но и на пуриновый обмен. Препараты, обладающие метаболической нейтральностью, не способствующие развитию липидных нарушений и ИР, могут заведомо считаться не вызывающими ГУ. В первую очередь это ингибиторы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ангиотензинпревращающего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фермента, блокаторы рецепторов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II, антагонисты кальция и агонисты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имидазолиновых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рецепторов. Наибольшие трудности в выборе </w:t>
      </w:r>
      <w:r w:rsidRPr="00740FC9">
        <w:rPr>
          <w:rFonts w:ascii="Times New Roman" w:hAnsi="Times New Roman" w:cs="Times New Roman"/>
          <w:sz w:val="28"/>
          <w:szCs w:val="28"/>
        </w:rPr>
        <w:lastRenderedPageBreak/>
        <w:t xml:space="preserve">терапевтической тактики у больных подагрой возникают при наличии ХСН. С одной стороны, лишь у немногих больных с ХСН удается поддерживать натриевый баланс без приема диуретиков, что закономерно приводит к обострению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подагрического артрита, с другой стороны, применение нестероидных противовоспалительных препаратов быстро вызывает отрицательные гемодинамические эффекты. Доказано, что низкие дозы ацетилсалициловой кислоты способствуют развитию ГУ и снижению функции почек, особенно у пожилых бол</w:t>
      </w:r>
      <w:r w:rsidR="003B2A7D">
        <w:rPr>
          <w:rFonts w:ascii="Times New Roman" w:hAnsi="Times New Roman" w:cs="Times New Roman"/>
          <w:sz w:val="28"/>
          <w:szCs w:val="28"/>
        </w:rPr>
        <w:t>ьных в 1-ю неделю применения.</w:t>
      </w:r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Общепринятое более 30 лет назад положение о том, что ГУ является следствием, а не самостоятельной причиной ССЗ и высокой смертности от них, может быть подвергнуто сомнению, это особенно актуально для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пациентов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как с подагрой, так и с бессимптомной ГУ. Поэтому стратегия ведения пациента должна включать скрининг и коррекцию пуринового (в том числе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асимптоматической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ГУ), липидного и углеводного обмена, профилактику развития кардиоваскулярных </w:t>
      </w:r>
      <w:r w:rsidR="003B2A7D">
        <w:rPr>
          <w:rFonts w:ascii="Times New Roman" w:hAnsi="Times New Roman" w:cs="Times New Roman"/>
          <w:sz w:val="28"/>
          <w:szCs w:val="28"/>
        </w:rPr>
        <w:t>осложнений.</w:t>
      </w:r>
    </w:p>
    <w:p w:rsidR="00FC4D8B" w:rsidRPr="00740FC9" w:rsidRDefault="002A634E" w:rsidP="00740F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C9">
        <w:rPr>
          <w:rFonts w:ascii="Times New Roman" w:hAnsi="Times New Roman" w:cs="Times New Roman"/>
          <w:b/>
          <w:sz w:val="28"/>
          <w:szCs w:val="28"/>
        </w:rPr>
        <w:t xml:space="preserve">Тактика </w:t>
      </w:r>
      <w:proofErr w:type="spellStart"/>
      <w:r w:rsidRPr="00740FC9">
        <w:rPr>
          <w:rFonts w:ascii="Times New Roman" w:hAnsi="Times New Roman" w:cs="Times New Roman"/>
          <w:b/>
          <w:sz w:val="28"/>
          <w:szCs w:val="28"/>
        </w:rPr>
        <w:t>уратснижающей</w:t>
      </w:r>
      <w:proofErr w:type="spellEnd"/>
      <w:r w:rsidRPr="00740FC9">
        <w:rPr>
          <w:rFonts w:ascii="Times New Roman" w:hAnsi="Times New Roman" w:cs="Times New Roman"/>
          <w:b/>
          <w:sz w:val="28"/>
          <w:szCs w:val="28"/>
        </w:rPr>
        <w:t xml:space="preserve"> терапии</w:t>
      </w:r>
    </w:p>
    <w:p w:rsidR="00FC4D8B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уратснижающей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терапии следует обсуждать с каждым пациентом. Эта терапия показана всем лицам после первого обострения заболевания, тем более при наличии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тофусов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уратной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нефропатии.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Уратснижающую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терапию рекомендуется начинать сразу же после установления диагноза у пациентов в возрасте до 40 лет, и/или с высоким уровнем МК в сыворотке крови (более 8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480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/л), и/или с такими сопутствующими заболеваниями, как почечная недостаточность, АГ, ишемическая болезнь сердца, ХСН и др. </w:t>
      </w:r>
    </w:p>
    <w:p w:rsidR="00740FC9" w:rsidRPr="00740FC9" w:rsidRDefault="002A634E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>Целевым уровнем МК следует считать менее 6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360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/л, т.е. ниже точки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супернасыщения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МУН, этот уровень необходимо поддерживать на протяжении всей жизни. С целью растворения имеющихся подагрических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тофусов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профилактики обострений хронической </w:t>
      </w:r>
      <w:r w:rsidRPr="00740FC9">
        <w:rPr>
          <w:rFonts w:ascii="Times New Roman" w:hAnsi="Times New Roman" w:cs="Times New Roman"/>
          <w:sz w:val="28"/>
          <w:szCs w:val="28"/>
        </w:rPr>
        <w:lastRenderedPageBreak/>
        <w:t xml:space="preserve">подагрической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необходимо стремиться к сывороточной концентрации МК</w:t>
      </w:r>
      <w:r w:rsidR="00FC4D8B" w:rsidRPr="00740FC9">
        <w:rPr>
          <w:rFonts w:ascii="Times New Roman" w:hAnsi="Times New Roman" w:cs="Times New Roman"/>
          <w:sz w:val="28"/>
          <w:szCs w:val="28"/>
        </w:rPr>
        <w:t xml:space="preserve"> &lt; 5 мг/</w:t>
      </w:r>
      <w:proofErr w:type="spellStart"/>
      <w:r w:rsidR="00FC4D8B" w:rsidRPr="00740FC9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="00FC4D8B" w:rsidRPr="00740FC9">
        <w:rPr>
          <w:rFonts w:ascii="Times New Roman" w:hAnsi="Times New Roman" w:cs="Times New Roman"/>
          <w:sz w:val="28"/>
          <w:szCs w:val="28"/>
        </w:rPr>
        <w:t xml:space="preserve"> или 300 </w:t>
      </w:r>
      <w:proofErr w:type="spellStart"/>
      <w:r w:rsidR="00FC4D8B" w:rsidRPr="00740FC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FC4D8B" w:rsidRPr="00740FC9">
        <w:rPr>
          <w:rFonts w:ascii="Times New Roman" w:hAnsi="Times New Roman" w:cs="Times New Roman"/>
          <w:sz w:val="28"/>
          <w:szCs w:val="28"/>
        </w:rPr>
        <w:t>/л. Но при этом не рекомендуется поддерживать уровень МК ≤3 м</w:t>
      </w:r>
      <w:r w:rsidR="003B2A7D">
        <w:rPr>
          <w:rFonts w:ascii="Times New Roman" w:hAnsi="Times New Roman" w:cs="Times New Roman"/>
          <w:sz w:val="28"/>
          <w:szCs w:val="28"/>
        </w:rPr>
        <w:t>г/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в долгосрочной перспективе.</w:t>
      </w:r>
    </w:p>
    <w:p w:rsidR="00740FC9" w:rsidRPr="00740FC9" w:rsidRDefault="00FC4D8B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Уратснижающую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терапию следует начинать с низких доз препаратов с последующим их титрованием. Эффективная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уратснижающая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терапия предупреждает повторное появление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тофусов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после растворения всех кристаллов. У больных с нормальной функцией почек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рекомендуется как препарат первой линии. Стартовая доза составляет 100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с дальнейшим ее повышением на 100 мг каждые 2–4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до достижения целевого уровня МК в крови, максимальная доза – 900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 Предполагается, что каждые 100 мг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снизят концентрацию МК на 1 мг/дл. Благоприятный терапевтический эффект может быть достигнут, если начальная доза препарата будет равняться приблизительно 100–200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>, поддерживающая доза – 300–600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 максимальная – 700–900 мг/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 Если не удается достичь нужного уровня МК, следует заменить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урикозурические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препараты (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пробенецид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бензбромарон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) или назначить комбинацию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урикозурического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препарата. Если отмечается непереносимость</w:t>
      </w:r>
      <w:r w:rsidR="00740FC9"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C9"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="00740FC9" w:rsidRPr="00740FC9">
        <w:rPr>
          <w:rFonts w:ascii="Times New Roman" w:hAnsi="Times New Roman" w:cs="Times New Roman"/>
          <w:sz w:val="28"/>
          <w:szCs w:val="28"/>
        </w:rPr>
        <w:t xml:space="preserve">, то начинать терапию можно с </w:t>
      </w:r>
      <w:proofErr w:type="spellStart"/>
      <w:r w:rsidR="00740FC9" w:rsidRPr="00740FC9">
        <w:rPr>
          <w:rFonts w:ascii="Times New Roman" w:hAnsi="Times New Roman" w:cs="Times New Roman"/>
          <w:sz w:val="28"/>
          <w:szCs w:val="28"/>
        </w:rPr>
        <w:t>фебуксостата</w:t>
      </w:r>
      <w:proofErr w:type="spellEnd"/>
      <w:r w:rsidR="00740FC9" w:rsidRPr="00740FC9">
        <w:rPr>
          <w:rFonts w:ascii="Times New Roman" w:hAnsi="Times New Roman" w:cs="Times New Roman"/>
          <w:sz w:val="28"/>
          <w:szCs w:val="28"/>
        </w:rPr>
        <w:t xml:space="preserve"> (аналог в России </w:t>
      </w:r>
      <w:proofErr w:type="spellStart"/>
      <w:r w:rsidR="00740FC9" w:rsidRPr="00740FC9">
        <w:rPr>
          <w:rFonts w:ascii="Times New Roman" w:hAnsi="Times New Roman" w:cs="Times New Roman"/>
          <w:sz w:val="28"/>
          <w:szCs w:val="28"/>
        </w:rPr>
        <w:t>Аденурик</w:t>
      </w:r>
      <w:proofErr w:type="spellEnd"/>
      <w:r w:rsidR="00740FC9" w:rsidRPr="00740FC9">
        <w:rPr>
          <w:rFonts w:ascii="Times New Roman" w:hAnsi="Times New Roman" w:cs="Times New Roman"/>
          <w:sz w:val="28"/>
          <w:szCs w:val="28"/>
        </w:rPr>
        <w:t>)</w:t>
      </w:r>
      <w:r w:rsidR="003B2A7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урикозурических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740FC9" w:rsidRP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связывается с обеими формами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ксантиноксиредуктазы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– редуцированной и оксидированной и не ингибирует другие ферменты, участвующие в метаболизме пуринов и пиримидинов.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 печени, при этом почки не являются основным путем выведения, что позволяет использовать препарат для лечения пациентов с легкой или умеренной почечной недостаточностью. В ходе II фазы краткосрочного наблюдения в трех крупных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клинических исследованиях была отмечена более высокая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уратснижающая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 суточной дозе 80 </w:t>
      </w:r>
      <w:r w:rsidRPr="00740FC9">
        <w:rPr>
          <w:rFonts w:ascii="Times New Roman" w:hAnsi="Times New Roman" w:cs="Times New Roman"/>
          <w:sz w:val="28"/>
          <w:szCs w:val="28"/>
        </w:rPr>
        <w:lastRenderedPageBreak/>
        <w:t xml:space="preserve">или 120 мг по сравнению с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аллопуринолом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 с</w:t>
      </w:r>
      <w:r w:rsidR="003B2A7D">
        <w:rPr>
          <w:rFonts w:ascii="Times New Roman" w:hAnsi="Times New Roman" w:cs="Times New Roman"/>
          <w:sz w:val="28"/>
          <w:szCs w:val="28"/>
        </w:rPr>
        <w:t>тандартной суточной дозе 300 мг.</w:t>
      </w:r>
    </w:p>
    <w:p w:rsidR="00740FC9" w:rsidRP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Несмотря на сведения о редких нежелательных кожных реакциях у пациентов, принимающих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недавно полученные данные не подтвердили перекрестную реактивность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 Наличие аллергических реакций на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 анамнезе не является противопоказанием для приема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>, но одновременно диктует необходимость тщательного мониторинга состояния пац</w:t>
      </w:r>
      <w:r w:rsidR="003B2A7D">
        <w:rPr>
          <w:rFonts w:ascii="Times New Roman" w:hAnsi="Times New Roman" w:cs="Times New Roman"/>
          <w:sz w:val="28"/>
          <w:szCs w:val="28"/>
        </w:rPr>
        <w:t xml:space="preserve">иентов, принимающих 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>.</w:t>
      </w:r>
    </w:p>
    <w:p w:rsidR="00740FC9" w:rsidRP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, чем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при лечении пациентов с хронической болезнью почек при приеме в дозах, подобранных в соответствии с клиренсом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>, поэтому для указанной группы пациенто</w:t>
      </w:r>
      <w:r w:rsidR="003B2A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не противопоказан.</w:t>
      </w:r>
    </w:p>
    <w:p w:rsidR="00740FC9" w:rsidRP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Пациентам с нарушениями функции почек дозу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подбирают под контролем клиренса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. Если не удается достичь целевого уровня МК в сыворотке крови, больному назначают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фебуксостат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бензбромарон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в комбинации с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аллопуринолом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без него, за исключением пациентов с расчетной скоростью клубочковой фильтрации менее 30 мл/мин/1,73 м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. Рекомендуется регулярно определять расчетную скорость клубочковой фильтрации и уровень МК в крови. </w:t>
      </w:r>
    </w:p>
    <w:p w:rsidR="00740FC9" w:rsidRP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В случае развития подагры у лиц, получающих терапию </w:t>
      </w:r>
      <w:proofErr w:type="gramStart"/>
      <w:r w:rsidRPr="00740FC9">
        <w:rPr>
          <w:rFonts w:ascii="Times New Roman" w:hAnsi="Times New Roman" w:cs="Times New Roman"/>
          <w:sz w:val="28"/>
          <w:szCs w:val="28"/>
        </w:rPr>
        <w:t>петлевыми</w:t>
      </w:r>
      <w:proofErr w:type="gramEnd"/>
      <w:r w:rsidRPr="00740FC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тиазидными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диуретиками, при возможности нужно сменить мочегонный препарат. Больным подагрой с АГ следует назначать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лозартан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или блокаторы кальциевых каналов, больным с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гиперлипи</w:t>
      </w:r>
      <w:r w:rsidR="003B2A7D">
        <w:rPr>
          <w:rFonts w:ascii="Times New Roman" w:hAnsi="Times New Roman" w:cs="Times New Roman"/>
          <w:sz w:val="28"/>
          <w:szCs w:val="28"/>
        </w:rPr>
        <w:t>демией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фенофибрат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>.</w:t>
      </w:r>
    </w:p>
    <w:p w:rsidR="00740FC9" w:rsidRP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Пациентам с тяжелым микрокристаллическим артритом с наличием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тофусов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, приводящим к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и низкому качеству жизни, при невозможности достичь требующегося уровня МК при приеме любых </w:t>
      </w:r>
      <w:r w:rsidRPr="00740FC9">
        <w:rPr>
          <w:rFonts w:ascii="Times New Roman" w:hAnsi="Times New Roman" w:cs="Times New Roman"/>
          <w:sz w:val="28"/>
          <w:szCs w:val="28"/>
        </w:rPr>
        <w:lastRenderedPageBreak/>
        <w:t>доступных препаратов или их комбинаций в максима</w:t>
      </w:r>
      <w:r w:rsidR="003B2A7D">
        <w:rPr>
          <w:rFonts w:ascii="Times New Roman" w:hAnsi="Times New Roman" w:cs="Times New Roman"/>
          <w:sz w:val="28"/>
          <w:szCs w:val="28"/>
        </w:rPr>
        <w:t xml:space="preserve">льной дозе </w:t>
      </w:r>
      <w:proofErr w:type="gramStart"/>
      <w:r w:rsidR="003B2A7D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="003B2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A7D">
        <w:rPr>
          <w:rFonts w:ascii="Times New Roman" w:hAnsi="Times New Roman" w:cs="Times New Roman"/>
          <w:sz w:val="28"/>
          <w:szCs w:val="28"/>
        </w:rPr>
        <w:t>пеглотиказа</w:t>
      </w:r>
      <w:proofErr w:type="spellEnd"/>
      <w:r w:rsidR="003B2A7D">
        <w:rPr>
          <w:rFonts w:ascii="Times New Roman" w:hAnsi="Times New Roman" w:cs="Times New Roman"/>
          <w:sz w:val="28"/>
          <w:szCs w:val="28"/>
        </w:rPr>
        <w:t>.</w:t>
      </w:r>
    </w:p>
    <w:p w:rsidR="00740FC9" w:rsidRPr="00740FC9" w:rsidRDefault="00740FC9" w:rsidP="00740FC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C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A634E" w:rsidRPr="00740FC9" w:rsidRDefault="00740FC9" w:rsidP="00740FC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0FC9">
        <w:rPr>
          <w:rFonts w:ascii="Times New Roman" w:hAnsi="Times New Roman" w:cs="Times New Roman"/>
          <w:sz w:val="28"/>
          <w:szCs w:val="28"/>
        </w:rPr>
        <w:t xml:space="preserve">Таким образом, ведение пациента с подагрой или ГУ должно включать скрининг и коррекцию пуринового, липидного и углеводного обмена, а также мероприятия, направленные на предотвращение </w:t>
      </w:r>
      <w:proofErr w:type="spellStart"/>
      <w:proofErr w:type="gramStart"/>
      <w:r w:rsidRPr="00740FC9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васкулярн</w:t>
      </w:r>
      <w:r w:rsidR="00D672EB">
        <w:rPr>
          <w:rFonts w:ascii="Times New Roman" w:hAnsi="Times New Roman" w:cs="Times New Roman"/>
          <w:sz w:val="28"/>
          <w:szCs w:val="28"/>
        </w:rPr>
        <w:t>ых</w:t>
      </w:r>
      <w:proofErr w:type="spellEnd"/>
      <w:proofErr w:type="gramEnd"/>
      <w:r w:rsidR="00D672EB">
        <w:rPr>
          <w:rFonts w:ascii="Times New Roman" w:hAnsi="Times New Roman" w:cs="Times New Roman"/>
          <w:sz w:val="28"/>
          <w:szCs w:val="28"/>
        </w:rPr>
        <w:t xml:space="preserve"> осложнений. Дальнейшее изуче</w:t>
      </w:r>
      <w:r w:rsidRPr="00740FC9">
        <w:rPr>
          <w:rFonts w:ascii="Times New Roman" w:hAnsi="Times New Roman" w:cs="Times New Roman"/>
          <w:sz w:val="28"/>
          <w:szCs w:val="28"/>
        </w:rPr>
        <w:t xml:space="preserve">ние теоретических аспектов МС при подагре, влияния коррекции углеводного обмена, </w:t>
      </w:r>
      <w:proofErr w:type="spellStart"/>
      <w:r w:rsidRPr="00740FC9">
        <w:rPr>
          <w:rFonts w:ascii="Times New Roman" w:hAnsi="Times New Roman" w:cs="Times New Roman"/>
          <w:sz w:val="28"/>
          <w:szCs w:val="28"/>
        </w:rPr>
        <w:t>гиперлипидемии</w:t>
      </w:r>
      <w:proofErr w:type="spellEnd"/>
      <w:r w:rsidRPr="00740FC9">
        <w:rPr>
          <w:rFonts w:ascii="Times New Roman" w:hAnsi="Times New Roman" w:cs="Times New Roman"/>
          <w:sz w:val="28"/>
          <w:szCs w:val="28"/>
        </w:rPr>
        <w:t xml:space="preserve"> на течение болезни, изучение метаболической безопасности препаратов различных классов для лечения собственно подагры и сопутствующей патологии – всё это необычайно важно в практическом плане и полностью отражает положения действующих </w:t>
      </w:r>
      <w:r w:rsidR="00D672EB">
        <w:rPr>
          <w:rFonts w:ascii="Times New Roman" w:hAnsi="Times New Roman" w:cs="Times New Roman"/>
          <w:sz w:val="28"/>
          <w:szCs w:val="28"/>
        </w:rPr>
        <w:t xml:space="preserve">российских и </w:t>
      </w:r>
      <w:r w:rsidRPr="00740FC9">
        <w:rPr>
          <w:rFonts w:ascii="Times New Roman" w:hAnsi="Times New Roman" w:cs="Times New Roman"/>
          <w:sz w:val="28"/>
          <w:szCs w:val="28"/>
        </w:rPr>
        <w:t>европейских рекомендаций.</w:t>
      </w: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2A634E" w:rsidRDefault="002A634E" w:rsidP="002A634E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</w:p>
    <w:p w:rsidR="00BF2D9D" w:rsidRPr="00333764" w:rsidRDefault="00D672EB" w:rsidP="00D672EB">
      <w:pPr>
        <w:pStyle w:val="a6"/>
        <w:spacing w:line="360" w:lineRule="auto"/>
        <w:ind w:left="144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</w:t>
      </w:r>
      <w:r w:rsidR="00BF2D9D" w:rsidRPr="00333764">
        <w:rPr>
          <w:rFonts w:ascii="Times New Roman" w:hAnsi="Times New Roman" w:cs="Times New Roman"/>
          <w:b/>
          <w:sz w:val="32"/>
          <w:szCs w:val="28"/>
        </w:rPr>
        <w:t>Список литературы</w:t>
      </w:r>
    </w:p>
    <w:p w:rsidR="003B2A7D" w:rsidRPr="003B2A7D" w:rsidRDefault="003B2A7D" w:rsidP="00D672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Насонова В.А.,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Барскова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В.Г. Ранние диагностика и лечение подагры – научно обоснованное требование улучшения трудового и жизненного прогноза больных. Науч</w:t>
      </w:r>
      <w:proofErr w:type="gram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spellStart"/>
      <w:proofErr w:type="gram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ревматология. 2004; </w:t>
      </w:r>
    </w:p>
    <w:p w:rsidR="003B2A7D" w:rsidRPr="003B2A7D" w:rsidRDefault="003B2A7D" w:rsidP="00D672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Барскова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В.Г., Елисеев М.С., Денисов И.С., Елисеева М.Е., Беликов О.А.,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Фадиенко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Г.Р.,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Жарская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Ф.С.,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Полковникова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О.П., Калягин А.Н.,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Склянова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М.В.,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Швецова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Е.А., Князева Л.А.,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Марусенко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И.М.,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Мясоедова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С.Е., Кожевникова Е.А., Петрова М.Н., Раскина Т.А., Королева М.В., 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Тыренко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В.В. и др. Частота</w:t>
      </w:r>
      <w:proofErr w:type="gram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метаболического синдрома и сопутствующих заболеваний у больных подагрой. Данные многоцентрового исследования. Науч</w:t>
      </w:r>
      <w:proofErr w:type="gram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spellStart"/>
      <w:proofErr w:type="gram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ревматология. 2012;  </w:t>
      </w:r>
    </w:p>
    <w:p w:rsidR="003B2A7D" w:rsidRPr="003B2A7D" w:rsidRDefault="003B2A7D" w:rsidP="00D672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Клинические рекомендации «Ревматология», 2-е издание. «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ГЭОТАР_Медиа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М., 2010</w:t>
      </w:r>
    </w:p>
    <w:p w:rsidR="003B2A7D" w:rsidRPr="003B2A7D" w:rsidRDefault="003B2A7D" w:rsidP="00D672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«Ревматология», Национальное руководство, М., «</w:t>
      </w: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ГЭОТАР_Медиа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М., 2018</w:t>
      </w:r>
    </w:p>
    <w:p w:rsidR="003B2A7D" w:rsidRPr="003B2A7D" w:rsidRDefault="003B2A7D" w:rsidP="00D672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Барскова</w:t>
      </w:r>
      <w:proofErr w:type="spellEnd"/>
      <w:r w:rsidRPr="003B2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В.Г., Елисеев М.С., Владимиров С.А. Диагностика микрокристаллической патологии суставов методом поляризационной микроскопии (трактовка и методические рекомендации к исследованию). Современная ревматология. 2010; </w:t>
      </w:r>
    </w:p>
    <w:p w:rsidR="003B2A7D" w:rsidRPr="003B2A7D" w:rsidRDefault="003B2A7D" w:rsidP="00D672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A7D">
        <w:rPr>
          <w:rFonts w:ascii="Times New Roman" w:hAnsi="Times New Roman" w:cs="Times New Roman"/>
          <w:sz w:val="28"/>
          <w:szCs w:val="28"/>
        </w:rPr>
        <w:t xml:space="preserve">Елисеев М.С. Классификационные критерии подагры (рекомендации ACR/EULAR). Науч.- </w:t>
      </w:r>
      <w:proofErr w:type="spellStart"/>
      <w:r w:rsidRPr="003B2A7D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3B2A7D">
        <w:rPr>
          <w:rFonts w:ascii="Times New Roman" w:hAnsi="Times New Roman" w:cs="Times New Roman"/>
          <w:sz w:val="28"/>
          <w:szCs w:val="28"/>
        </w:rPr>
        <w:t>. ревматология. 2015;</w:t>
      </w:r>
    </w:p>
    <w:p w:rsidR="003B2A7D" w:rsidRPr="003B2A7D" w:rsidRDefault="003B2A7D" w:rsidP="00D672E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A7D">
        <w:rPr>
          <w:rFonts w:ascii="Times New Roman" w:hAnsi="Times New Roman" w:cs="Times New Roman"/>
          <w:sz w:val="28"/>
          <w:szCs w:val="28"/>
        </w:rPr>
        <w:t xml:space="preserve">Елисеев М.С., </w:t>
      </w:r>
      <w:proofErr w:type="spellStart"/>
      <w:r w:rsidRPr="003B2A7D">
        <w:rPr>
          <w:rFonts w:ascii="Times New Roman" w:hAnsi="Times New Roman" w:cs="Times New Roman"/>
          <w:sz w:val="28"/>
          <w:szCs w:val="28"/>
        </w:rPr>
        <w:t>Чикаленкова</w:t>
      </w:r>
      <w:proofErr w:type="spellEnd"/>
      <w:r w:rsidRPr="003B2A7D">
        <w:rPr>
          <w:rFonts w:ascii="Times New Roman" w:hAnsi="Times New Roman" w:cs="Times New Roman"/>
          <w:sz w:val="28"/>
          <w:szCs w:val="28"/>
        </w:rPr>
        <w:t xml:space="preserve"> Н.А., Денисов И.С., </w:t>
      </w:r>
      <w:proofErr w:type="spellStart"/>
      <w:r w:rsidRPr="003B2A7D">
        <w:rPr>
          <w:rFonts w:ascii="Times New Roman" w:hAnsi="Times New Roman" w:cs="Times New Roman"/>
          <w:sz w:val="28"/>
          <w:szCs w:val="28"/>
        </w:rPr>
        <w:t>Барскова</w:t>
      </w:r>
      <w:proofErr w:type="spellEnd"/>
      <w:r w:rsidRPr="003B2A7D">
        <w:rPr>
          <w:rFonts w:ascii="Times New Roman" w:hAnsi="Times New Roman" w:cs="Times New Roman"/>
          <w:sz w:val="28"/>
          <w:szCs w:val="28"/>
        </w:rPr>
        <w:t xml:space="preserve"> В.Г. Факторы риска подагры: половые различия.</w:t>
      </w:r>
      <w:r w:rsidR="00D672EB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D672E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D672EB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="00D672EB">
        <w:rPr>
          <w:rFonts w:ascii="Times New Roman" w:hAnsi="Times New Roman" w:cs="Times New Roman"/>
          <w:sz w:val="28"/>
          <w:szCs w:val="28"/>
        </w:rPr>
        <w:t>. ревматология. 2011.</w:t>
      </w:r>
    </w:p>
    <w:p w:rsidR="003B2A7D" w:rsidRPr="003B2A7D" w:rsidRDefault="003B2A7D" w:rsidP="003B2A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333764" w:rsidRPr="00333764" w:rsidRDefault="00333764" w:rsidP="003B2A7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3764" w:rsidRPr="0033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761"/>
    <w:multiLevelType w:val="multilevel"/>
    <w:tmpl w:val="4C0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86BBB"/>
    <w:multiLevelType w:val="multilevel"/>
    <w:tmpl w:val="5F5C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D2D8F"/>
    <w:multiLevelType w:val="hybridMultilevel"/>
    <w:tmpl w:val="F2D2F3FA"/>
    <w:lvl w:ilvl="0" w:tplc="E916A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363EE"/>
    <w:multiLevelType w:val="multilevel"/>
    <w:tmpl w:val="C37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494"/>
    <w:multiLevelType w:val="multilevel"/>
    <w:tmpl w:val="ABD6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5072D"/>
    <w:multiLevelType w:val="multilevel"/>
    <w:tmpl w:val="D930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77E57"/>
    <w:multiLevelType w:val="multilevel"/>
    <w:tmpl w:val="3A0A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1078E"/>
    <w:multiLevelType w:val="multilevel"/>
    <w:tmpl w:val="06B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C20C6"/>
    <w:multiLevelType w:val="multilevel"/>
    <w:tmpl w:val="FD84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13D32"/>
    <w:multiLevelType w:val="multilevel"/>
    <w:tmpl w:val="E108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E27DA"/>
    <w:multiLevelType w:val="multilevel"/>
    <w:tmpl w:val="3D68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3050A"/>
    <w:multiLevelType w:val="multilevel"/>
    <w:tmpl w:val="DC5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51E9A"/>
    <w:multiLevelType w:val="multilevel"/>
    <w:tmpl w:val="88C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3238D"/>
    <w:multiLevelType w:val="multilevel"/>
    <w:tmpl w:val="218E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447BA"/>
    <w:multiLevelType w:val="multilevel"/>
    <w:tmpl w:val="D01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33F52"/>
    <w:multiLevelType w:val="multilevel"/>
    <w:tmpl w:val="BC54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6320D"/>
    <w:multiLevelType w:val="multilevel"/>
    <w:tmpl w:val="C4B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624BE"/>
    <w:multiLevelType w:val="multilevel"/>
    <w:tmpl w:val="B1AA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06259"/>
    <w:multiLevelType w:val="multilevel"/>
    <w:tmpl w:val="898A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61729"/>
    <w:multiLevelType w:val="multilevel"/>
    <w:tmpl w:val="6A1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03E58"/>
    <w:multiLevelType w:val="multilevel"/>
    <w:tmpl w:val="106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D6D97"/>
    <w:multiLevelType w:val="hybridMultilevel"/>
    <w:tmpl w:val="AD5ADFCC"/>
    <w:lvl w:ilvl="0" w:tplc="1EB8D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3E01E0"/>
    <w:multiLevelType w:val="multilevel"/>
    <w:tmpl w:val="2486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6C5F15"/>
    <w:multiLevelType w:val="multilevel"/>
    <w:tmpl w:val="C18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A52D2E"/>
    <w:multiLevelType w:val="hybridMultilevel"/>
    <w:tmpl w:val="321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7"/>
    <w:lvlOverride w:ilvl="0">
      <w:startOverride w:val="2"/>
    </w:lvlOverride>
  </w:num>
  <w:num w:numId="5">
    <w:abstractNumId w:val="17"/>
    <w:lvlOverride w:ilvl="0">
      <w:startOverride w:val="3"/>
    </w:lvlOverride>
  </w:num>
  <w:num w:numId="6">
    <w:abstractNumId w:val="17"/>
    <w:lvlOverride w:ilvl="0">
      <w:startOverride w:val="4"/>
    </w:lvlOverride>
  </w:num>
  <w:num w:numId="7">
    <w:abstractNumId w:val="22"/>
  </w:num>
  <w:num w:numId="8">
    <w:abstractNumId w:val="9"/>
  </w:num>
  <w:num w:numId="9">
    <w:abstractNumId w:val="4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5"/>
  </w:num>
  <w:num w:numId="18">
    <w:abstractNumId w:val="8"/>
  </w:num>
  <w:num w:numId="19">
    <w:abstractNumId w:val="6"/>
    <w:lvlOverride w:ilvl="0">
      <w:startOverride w:val="3"/>
    </w:lvlOverride>
  </w:num>
  <w:num w:numId="20">
    <w:abstractNumId w:val="21"/>
  </w:num>
  <w:num w:numId="21">
    <w:abstractNumId w:val="2"/>
  </w:num>
  <w:num w:numId="22">
    <w:abstractNumId w:val="24"/>
  </w:num>
  <w:num w:numId="23">
    <w:abstractNumId w:val="23"/>
  </w:num>
  <w:num w:numId="24">
    <w:abstractNumId w:val="10"/>
  </w:num>
  <w:num w:numId="25">
    <w:abstractNumId w:val="18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5F"/>
    <w:rsid w:val="000B0B5F"/>
    <w:rsid w:val="002A634E"/>
    <w:rsid w:val="00333764"/>
    <w:rsid w:val="003B2A7D"/>
    <w:rsid w:val="003D1582"/>
    <w:rsid w:val="00740FC9"/>
    <w:rsid w:val="007A7E21"/>
    <w:rsid w:val="00BF2D9D"/>
    <w:rsid w:val="00D672EB"/>
    <w:rsid w:val="00F00A22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5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1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1582"/>
    <w:rPr>
      <w:i/>
      <w:iCs/>
    </w:rPr>
  </w:style>
  <w:style w:type="paragraph" w:styleId="a6">
    <w:name w:val="List Paragraph"/>
    <w:basedOn w:val="a"/>
    <w:uiPriority w:val="34"/>
    <w:qFormat/>
    <w:rsid w:val="003D1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5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1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D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1582"/>
    <w:rPr>
      <w:i/>
      <w:iCs/>
    </w:rPr>
  </w:style>
  <w:style w:type="paragraph" w:styleId="a6">
    <w:name w:val="List Paragraph"/>
    <w:basedOn w:val="a"/>
    <w:uiPriority w:val="34"/>
    <w:qFormat/>
    <w:rsid w:val="003D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2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</dc:creator>
  <cp:keywords/>
  <dc:description/>
  <cp:lastModifiedBy>269</cp:lastModifiedBy>
  <cp:revision>4</cp:revision>
  <dcterms:created xsi:type="dcterms:W3CDTF">2022-06-03T09:07:00Z</dcterms:created>
  <dcterms:modified xsi:type="dcterms:W3CDTF">2022-06-04T11:12:00Z</dcterms:modified>
</cp:coreProperties>
</file>