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22" w:rsidRPr="00F661BC" w:rsidRDefault="00F00A22" w:rsidP="00F00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6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</w:r>
      <w:proofErr w:type="spellStart"/>
      <w:r w:rsidRPr="00F66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В.Ф.Войно-Ясенецкого</w:t>
      </w:r>
      <w:proofErr w:type="spellEnd"/>
      <w:r w:rsidRPr="00F66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Министерства здравоохранения Российской Федерации </w:t>
      </w:r>
    </w:p>
    <w:p w:rsidR="00F00A22" w:rsidRPr="00F661BC" w:rsidRDefault="00F00A22" w:rsidP="00F00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6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Кафедра терапии ИПО</w:t>
      </w:r>
    </w:p>
    <w:p w:rsidR="00F00A22" w:rsidRPr="00F661BC" w:rsidRDefault="00F00A22" w:rsidP="00F00A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6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</w:t>
      </w:r>
    </w:p>
    <w:p w:rsidR="00F00A22" w:rsidRPr="00F661BC" w:rsidRDefault="00F00A22" w:rsidP="00F00A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F6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Кафедрой, ДМН, профессор</w:t>
      </w:r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Гринштейн</w:t>
      </w:r>
      <w:proofErr w:type="spellEnd"/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Исаевич</w:t>
      </w:r>
    </w:p>
    <w:p w:rsidR="00F00A22" w:rsidRPr="00F661BC" w:rsidRDefault="00F00A22" w:rsidP="00F00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Руководитель ординатуры ДМН, профессор</w:t>
      </w:r>
    </w:p>
    <w:p w:rsidR="00F00A22" w:rsidRPr="00F661BC" w:rsidRDefault="00F00A22" w:rsidP="00F00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Грищенко Елена Георгиевна</w:t>
      </w:r>
    </w:p>
    <w:p w:rsidR="00F00A22" w:rsidRPr="00F661BC" w:rsidRDefault="00F00A22" w:rsidP="00F00A2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A22" w:rsidRPr="00F661BC" w:rsidRDefault="00F00A22" w:rsidP="00F00A2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A22" w:rsidRPr="00F661BC" w:rsidRDefault="00F00A22" w:rsidP="00F00A2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A22" w:rsidRPr="00F661BC" w:rsidRDefault="00F00A22" w:rsidP="00F00A2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00A22" w:rsidRPr="00F661BC" w:rsidRDefault="00F00A22" w:rsidP="00F00A2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A22" w:rsidRPr="00F661BC" w:rsidRDefault="00F00A22" w:rsidP="00F00A2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61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Реферат</w:t>
      </w:r>
    </w:p>
    <w:p w:rsidR="00F00A22" w:rsidRPr="00F661BC" w:rsidRDefault="00F00A22" w:rsidP="00F00A2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00A22" w:rsidRPr="00420AEA" w:rsidRDefault="00740FC9" w:rsidP="00F00A2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Подагра и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гиперурикемия</w:t>
      </w:r>
      <w:proofErr w:type="spellEnd"/>
      <w:r w:rsidR="00D672EB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своевременная терапия </w:t>
      </w:r>
      <w:r w:rsidR="00D672EB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профилактика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сердечно-сосудистых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 заболеваний</w:t>
      </w:r>
      <w:r w:rsidR="007A7E21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.</w:t>
      </w:r>
    </w:p>
    <w:p w:rsidR="00F00A22" w:rsidRPr="00F661BC" w:rsidRDefault="00F00A22" w:rsidP="00F00A2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22" w:rsidRPr="00F661BC" w:rsidRDefault="00F00A22" w:rsidP="00F00A2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A22" w:rsidRPr="00F661BC" w:rsidRDefault="00F00A22" w:rsidP="00F00A2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A22" w:rsidRDefault="00F00A22" w:rsidP="00F00A2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A22" w:rsidRDefault="00F00A22" w:rsidP="00F00A2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A22" w:rsidRPr="00F661BC" w:rsidRDefault="00F00A22" w:rsidP="00F00A2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A22" w:rsidRPr="00F661BC" w:rsidRDefault="00F00A22" w:rsidP="00F00A2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Здзярская Олеся Леонидовна </w:t>
      </w:r>
    </w:p>
    <w:p w:rsidR="00F00A22" w:rsidRPr="00F661BC" w:rsidRDefault="00F00A22" w:rsidP="00F00A2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Ординатор 2-го года обучения специальности Терапия</w:t>
      </w:r>
    </w:p>
    <w:p w:rsidR="00F00A22" w:rsidRPr="00F661BC" w:rsidRDefault="00F00A22" w:rsidP="00F00A2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22" w:rsidRPr="00F661BC" w:rsidRDefault="00F00A22" w:rsidP="00F00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A22" w:rsidRDefault="00F00A22" w:rsidP="00F00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A22" w:rsidRPr="00F661BC" w:rsidRDefault="00F00A22" w:rsidP="00F00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A22" w:rsidRPr="00F661BC" w:rsidRDefault="00F00A22" w:rsidP="00F00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2022</w:t>
      </w:r>
    </w:p>
    <w:p w:rsidR="003D1582" w:rsidRPr="00333764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32"/>
          <w:szCs w:val="28"/>
          <w:shd w:val="clear" w:color="auto" w:fill="FFFFFF"/>
        </w:rPr>
      </w:pPr>
      <w:r w:rsidRPr="00333764">
        <w:rPr>
          <w:rStyle w:val="a3"/>
          <w:rFonts w:ascii="Times New Roman" w:hAnsi="Times New Roman" w:cs="Times New Roman"/>
          <w:color w:val="202124"/>
          <w:sz w:val="32"/>
          <w:szCs w:val="28"/>
          <w:shd w:val="clear" w:color="auto" w:fill="FFFFFF"/>
        </w:rPr>
        <w:lastRenderedPageBreak/>
        <w:t>Содержание</w:t>
      </w:r>
    </w:p>
    <w:p w:rsidR="003D1582" w:rsidRPr="003D1582" w:rsidRDefault="003D1582" w:rsidP="003D1582">
      <w:pPr>
        <w:pStyle w:val="a6"/>
        <w:numPr>
          <w:ilvl w:val="0"/>
          <w:numId w:val="20"/>
        </w:numPr>
        <w:spacing w:line="360" w:lineRule="auto"/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</w:pPr>
      <w:r w:rsidRPr="003D1582"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  <w:t>Введение</w:t>
      </w:r>
    </w:p>
    <w:p w:rsidR="003D1582" w:rsidRPr="003D1582" w:rsidRDefault="00740FC9" w:rsidP="003D1582">
      <w:pPr>
        <w:pStyle w:val="a6"/>
        <w:numPr>
          <w:ilvl w:val="0"/>
          <w:numId w:val="20"/>
        </w:numPr>
        <w:spacing w:line="360" w:lineRule="auto"/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</w:pPr>
      <w:r w:rsidRPr="00740FC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Подагра и </w:t>
      </w:r>
      <w:proofErr w:type="spellStart"/>
      <w:r w:rsidRPr="00740FC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гиперурикемия</w:t>
      </w:r>
      <w:proofErr w:type="spellEnd"/>
      <w:r w:rsidRPr="00740FC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: основные понятия</w:t>
      </w:r>
    </w:p>
    <w:p w:rsidR="003D1582" w:rsidRPr="003D1582" w:rsidRDefault="00740FC9" w:rsidP="003D1582">
      <w:pPr>
        <w:pStyle w:val="a6"/>
        <w:numPr>
          <w:ilvl w:val="0"/>
          <w:numId w:val="20"/>
        </w:numPr>
        <w:spacing w:line="360" w:lineRule="auto"/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</w:pPr>
      <w:proofErr w:type="spellStart"/>
      <w:r w:rsidRPr="00740FC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Гиперурикемия</w:t>
      </w:r>
      <w:proofErr w:type="spellEnd"/>
      <w:r w:rsidRPr="00740FC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и </w:t>
      </w:r>
      <w:proofErr w:type="gramStart"/>
      <w:r w:rsidRPr="00740FC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сердечно-сосудистые</w:t>
      </w:r>
      <w:proofErr w:type="gramEnd"/>
      <w:r w:rsidRPr="00740FC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заболевания: взаимосвязь и механизмы развития</w:t>
      </w:r>
    </w:p>
    <w:p w:rsidR="00740FC9" w:rsidRDefault="00740FC9" w:rsidP="00740FC9">
      <w:pPr>
        <w:pStyle w:val="a6"/>
        <w:numPr>
          <w:ilvl w:val="0"/>
          <w:numId w:val="20"/>
        </w:numPr>
        <w:spacing w:line="360" w:lineRule="auto"/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</w:pPr>
      <w:r w:rsidRPr="00740FC9"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  <w:t>Тактика ведения больных с ГУ и ССЗ</w:t>
      </w:r>
    </w:p>
    <w:p w:rsidR="00740FC9" w:rsidRDefault="00740FC9" w:rsidP="00740FC9">
      <w:pPr>
        <w:pStyle w:val="a6"/>
        <w:numPr>
          <w:ilvl w:val="0"/>
          <w:numId w:val="20"/>
        </w:numPr>
        <w:spacing w:line="360" w:lineRule="auto"/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</w:pPr>
      <w:r w:rsidRPr="00740FC9"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  <w:t xml:space="preserve">Тактика </w:t>
      </w:r>
      <w:proofErr w:type="spellStart"/>
      <w:r w:rsidRPr="00740FC9"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  <w:t>уратснижающей</w:t>
      </w:r>
      <w:proofErr w:type="spellEnd"/>
      <w:r w:rsidRPr="00740FC9"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  <w:t xml:space="preserve"> терапии</w:t>
      </w:r>
    </w:p>
    <w:p w:rsidR="00740FC9" w:rsidRDefault="00740FC9" w:rsidP="00740FC9">
      <w:pPr>
        <w:pStyle w:val="a6"/>
        <w:numPr>
          <w:ilvl w:val="0"/>
          <w:numId w:val="20"/>
        </w:numPr>
        <w:spacing w:line="360" w:lineRule="auto"/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</w:pPr>
      <w:r w:rsidRPr="00740FC9"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  <w:t>Заключение</w:t>
      </w:r>
    </w:p>
    <w:p w:rsidR="00740FC9" w:rsidRPr="003D1582" w:rsidRDefault="00740FC9" w:rsidP="00740FC9">
      <w:pPr>
        <w:pStyle w:val="a6"/>
        <w:numPr>
          <w:ilvl w:val="0"/>
          <w:numId w:val="20"/>
        </w:numPr>
        <w:spacing w:line="360" w:lineRule="auto"/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  <w:t>Список литературы</w:t>
      </w: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2A634E" w:rsidRDefault="002A634E" w:rsidP="002A634E">
      <w:pPr>
        <w:spacing w:line="360" w:lineRule="auto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740FC9" w:rsidRPr="00740FC9" w:rsidRDefault="00740FC9" w:rsidP="00740F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C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40FC9" w:rsidRDefault="00740FC9" w:rsidP="00740F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0FC9">
        <w:rPr>
          <w:rFonts w:ascii="Times New Roman" w:hAnsi="Times New Roman" w:cs="Times New Roman"/>
          <w:sz w:val="28"/>
          <w:szCs w:val="28"/>
        </w:rPr>
        <w:t xml:space="preserve">В последние годы исследователи и врачи широко обсуждают связь подагры и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гиперурикемии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с риском развития кардиоваскулярной патологии. В связи с этим важно своевременно выявлять и корректировать нарушения пуринового, липидного и углеводного обмена, а также проводить мероприятия, направленные на предотвращение кардиоваскулярных осложнений, что полностью соответствует положениям действующих европейских рекомендаций по ведению пациентов с подагрой.</w:t>
      </w:r>
    </w:p>
    <w:p w:rsidR="00740FC9" w:rsidRDefault="00740FC9" w:rsidP="00740F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D8B" w:rsidRPr="00740FC9" w:rsidRDefault="002A634E" w:rsidP="00740F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C9">
        <w:rPr>
          <w:rFonts w:ascii="Times New Roman" w:hAnsi="Times New Roman" w:cs="Times New Roman"/>
          <w:b/>
          <w:sz w:val="28"/>
          <w:szCs w:val="28"/>
        </w:rPr>
        <w:t xml:space="preserve">Подагра и </w:t>
      </w:r>
      <w:proofErr w:type="spellStart"/>
      <w:r w:rsidRPr="00740FC9">
        <w:rPr>
          <w:rFonts w:ascii="Times New Roman" w:hAnsi="Times New Roman" w:cs="Times New Roman"/>
          <w:b/>
          <w:sz w:val="28"/>
          <w:szCs w:val="28"/>
        </w:rPr>
        <w:t>гиперурикемия</w:t>
      </w:r>
      <w:proofErr w:type="spellEnd"/>
      <w:r w:rsidRPr="00740FC9">
        <w:rPr>
          <w:rFonts w:ascii="Times New Roman" w:hAnsi="Times New Roman" w:cs="Times New Roman"/>
          <w:b/>
          <w:sz w:val="28"/>
          <w:szCs w:val="28"/>
        </w:rPr>
        <w:t>: основные понятия</w:t>
      </w:r>
    </w:p>
    <w:p w:rsidR="00FC4D8B" w:rsidRPr="00740FC9" w:rsidRDefault="002A634E" w:rsidP="00740F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0FC9">
        <w:rPr>
          <w:rFonts w:ascii="Times New Roman" w:hAnsi="Times New Roman" w:cs="Times New Roman"/>
          <w:sz w:val="28"/>
          <w:szCs w:val="28"/>
        </w:rPr>
        <w:t xml:space="preserve">Подагра – системное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тофусное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заболевание, включающее рецидивирующий артрит периферических суставов вследствие перенасыщения жидкостей организма мочевой кислотой (МК) у лиц с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гиперурикемией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(ГУ) и отложением кристаллов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моноурата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натрия (МУН) в различных тканях. Болезнь обусловлена внешними средовыми и/или генетическими факторами. </w:t>
      </w:r>
    </w:p>
    <w:p w:rsidR="00FC4D8B" w:rsidRPr="00740FC9" w:rsidRDefault="002A634E" w:rsidP="00740F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40FC9">
        <w:rPr>
          <w:rFonts w:ascii="Times New Roman" w:hAnsi="Times New Roman" w:cs="Times New Roman"/>
          <w:sz w:val="28"/>
          <w:szCs w:val="28"/>
        </w:rPr>
        <w:t>Бессимптомная</w:t>
      </w:r>
      <w:proofErr w:type="gramEnd"/>
      <w:r w:rsidRPr="00740FC9">
        <w:rPr>
          <w:rFonts w:ascii="Times New Roman" w:hAnsi="Times New Roman" w:cs="Times New Roman"/>
          <w:sz w:val="28"/>
          <w:szCs w:val="28"/>
        </w:rPr>
        <w:t xml:space="preserve"> ГУ представляет собой повышение концентрации МК (&gt;6,8 мг/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или 404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>/л) без суставного синдрома и может длиться годами и выявляться случайно при обследовании. Причиной ГУ в 10% случаев служит избыточное образование МК, в 90%</w:t>
      </w:r>
      <w:r w:rsidR="00740FC9">
        <w:rPr>
          <w:rFonts w:ascii="Times New Roman" w:hAnsi="Times New Roman" w:cs="Times New Roman"/>
          <w:sz w:val="28"/>
          <w:szCs w:val="28"/>
        </w:rPr>
        <w:t xml:space="preserve"> – нарушение ее выведения</w:t>
      </w:r>
      <w:r w:rsidRPr="00740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D8B" w:rsidRPr="00740FC9" w:rsidRDefault="002A634E" w:rsidP="00740F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0FC9">
        <w:rPr>
          <w:rFonts w:ascii="Times New Roman" w:hAnsi="Times New Roman" w:cs="Times New Roman"/>
          <w:sz w:val="28"/>
          <w:szCs w:val="28"/>
        </w:rPr>
        <w:t xml:space="preserve">Кристаллы МУН первично осаждаются в тканях с более низкой температурой и слабой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васкуляризацией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(сухожилия, связки, отдаленные периферические участки суставов) или без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васкуляризации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(хрящи ушной раковины). Формирование и отложение кристаллов МУН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зависят от концентрации МК,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, температуры и регулируются концентрацией хлорида натрия и присутствием некоторых компонентов соединительной ткани, вероятно </w:t>
      </w:r>
      <w:r w:rsidR="00740FC9">
        <w:rPr>
          <w:rFonts w:ascii="Times New Roman" w:hAnsi="Times New Roman" w:cs="Times New Roman"/>
          <w:sz w:val="28"/>
          <w:szCs w:val="28"/>
        </w:rPr>
        <w:t xml:space="preserve">фрагментов </w:t>
      </w:r>
      <w:proofErr w:type="spellStart"/>
      <w:r w:rsidR="00740FC9">
        <w:rPr>
          <w:rFonts w:ascii="Times New Roman" w:hAnsi="Times New Roman" w:cs="Times New Roman"/>
          <w:sz w:val="28"/>
          <w:szCs w:val="28"/>
        </w:rPr>
        <w:t>протеогликанов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D8B" w:rsidRPr="00740FC9" w:rsidRDefault="002A634E" w:rsidP="00740F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0FC9">
        <w:rPr>
          <w:rFonts w:ascii="Times New Roman" w:hAnsi="Times New Roman" w:cs="Times New Roman"/>
          <w:sz w:val="28"/>
          <w:szCs w:val="28"/>
        </w:rPr>
        <w:lastRenderedPageBreak/>
        <w:t>О распространенности ГУ в российской популяции пациентов с артериальной гипертонией (АГ), протекающей на фоне метаболического синдрома (МС) и сахарного диабета (СД), позволяют судить результаты наблюдательной программы, которая проводилась в 2017 г. при участии 880 врачей в 395 лечебно-профилактических учреждениях. В программу было включено 9617 пациентов в возрасте 30–80 лет (4176 мужчин (43,42%), 5441 женщина (56,58%)). В результате проведенного анализа данных ГУ была выявлена у 37% мужчин и 63% женщин. Повышенный уровень МК</w:t>
      </w:r>
      <w:r w:rsidR="00FC4D8B" w:rsidRPr="00740FC9">
        <w:rPr>
          <w:rFonts w:ascii="Times New Roman" w:hAnsi="Times New Roman" w:cs="Times New Roman"/>
          <w:sz w:val="28"/>
          <w:szCs w:val="28"/>
        </w:rPr>
        <w:t xml:space="preserve">, </w:t>
      </w:r>
      <w:r w:rsidRPr="00740FC9">
        <w:rPr>
          <w:rFonts w:ascii="Times New Roman" w:hAnsi="Times New Roman" w:cs="Times New Roman"/>
          <w:sz w:val="28"/>
          <w:szCs w:val="28"/>
        </w:rPr>
        <w:t xml:space="preserve">ассоциированный с МС, отмечен преимущественно у пациентов пожилого возраста (60–69 лет) с АГ, СД и суставным синдромом. </w:t>
      </w:r>
    </w:p>
    <w:p w:rsidR="00740FC9" w:rsidRPr="00740FC9" w:rsidRDefault="002A634E" w:rsidP="00740FC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0FC9">
        <w:rPr>
          <w:rFonts w:ascii="Times New Roman" w:hAnsi="Times New Roman" w:cs="Times New Roman"/>
          <w:b/>
          <w:sz w:val="28"/>
          <w:szCs w:val="28"/>
        </w:rPr>
        <w:t>Гиперурикемия</w:t>
      </w:r>
      <w:proofErr w:type="spellEnd"/>
      <w:r w:rsidRPr="00740FC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740FC9">
        <w:rPr>
          <w:rFonts w:ascii="Times New Roman" w:hAnsi="Times New Roman" w:cs="Times New Roman"/>
          <w:b/>
          <w:sz w:val="28"/>
          <w:szCs w:val="28"/>
        </w:rPr>
        <w:t>сердечно-сосудистые</w:t>
      </w:r>
      <w:proofErr w:type="gramEnd"/>
      <w:r w:rsidRPr="00740FC9">
        <w:rPr>
          <w:rFonts w:ascii="Times New Roman" w:hAnsi="Times New Roman" w:cs="Times New Roman"/>
          <w:b/>
          <w:sz w:val="28"/>
          <w:szCs w:val="28"/>
        </w:rPr>
        <w:t xml:space="preserve"> заболевания: взаимосвязь и механизмы развития</w:t>
      </w:r>
    </w:p>
    <w:p w:rsidR="00FC4D8B" w:rsidRPr="00740FC9" w:rsidRDefault="002A634E" w:rsidP="00740F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0FC9">
        <w:rPr>
          <w:rFonts w:ascii="Times New Roman" w:hAnsi="Times New Roman" w:cs="Times New Roman"/>
          <w:sz w:val="28"/>
          <w:szCs w:val="28"/>
        </w:rPr>
        <w:t xml:space="preserve">Взаимосвязь между повышением уровня МК в сыворотке крови и развитием </w:t>
      </w:r>
      <w:proofErr w:type="gramStart"/>
      <w:r w:rsidRPr="00740FC9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740FC9">
        <w:rPr>
          <w:rFonts w:ascii="Times New Roman" w:hAnsi="Times New Roman" w:cs="Times New Roman"/>
          <w:sz w:val="28"/>
          <w:szCs w:val="28"/>
        </w:rPr>
        <w:t xml:space="preserve"> заболеваний (ССЗ) обсуждается не один десяток лет. Впервые гипотеза об их ассоциации была опубликована в “Британском медицинском журнале” в 1886 г., но только в настоящее время идея истинного причинно-следственного взаимодействия нашла свое подтверждение благодаря данным, полученным в многочисленных клинико-эпидемиологических исследованиях. В ближайшем будущем вследствие возрастания распространенности ГУ, ожирения и нарушений метаболизма, а также в результате старения человечества ожидается еще большее ув</w:t>
      </w:r>
      <w:r w:rsidR="00740FC9">
        <w:rPr>
          <w:rFonts w:ascii="Times New Roman" w:hAnsi="Times New Roman" w:cs="Times New Roman"/>
          <w:sz w:val="28"/>
          <w:szCs w:val="28"/>
        </w:rPr>
        <w:t>еличение частоты ГУ и ССЗ</w:t>
      </w:r>
      <w:r w:rsidRPr="00740FC9">
        <w:rPr>
          <w:rFonts w:ascii="Times New Roman" w:hAnsi="Times New Roman" w:cs="Times New Roman"/>
          <w:sz w:val="28"/>
          <w:szCs w:val="28"/>
        </w:rPr>
        <w:t>. Этот феномен связывают с быстрым экономическим развитием и</w:t>
      </w:r>
      <w:r w:rsidR="00D672EB">
        <w:rPr>
          <w:rFonts w:ascii="Times New Roman" w:hAnsi="Times New Roman" w:cs="Times New Roman"/>
          <w:sz w:val="28"/>
          <w:szCs w:val="28"/>
        </w:rPr>
        <w:t xml:space="preserve"> изменением образа жизни общест</w:t>
      </w:r>
      <w:r w:rsidRPr="00740FC9">
        <w:rPr>
          <w:rFonts w:ascii="Times New Roman" w:hAnsi="Times New Roman" w:cs="Times New Roman"/>
          <w:sz w:val="28"/>
          <w:szCs w:val="28"/>
        </w:rPr>
        <w:t>ва с более высоким социаль</w:t>
      </w:r>
      <w:r w:rsidR="00740FC9">
        <w:rPr>
          <w:rFonts w:ascii="Times New Roman" w:hAnsi="Times New Roman" w:cs="Times New Roman"/>
          <w:sz w:val="28"/>
          <w:szCs w:val="28"/>
        </w:rPr>
        <w:t>но-экономическим статусом</w:t>
      </w:r>
      <w:r w:rsidRPr="00740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D8B" w:rsidRPr="00740FC9" w:rsidRDefault="002A634E" w:rsidP="00740F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Гиперурикемия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на фоне постоянного хронического воспаления с суставным синдромом при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тофусной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подагре способствует возникновению ССЗ. В крупных эпидемиологических исследованиях было продемонстрировано, что ГУ и подагра являются независимыми факторами риска развития фатальных </w:t>
      </w:r>
      <w:proofErr w:type="gramStart"/>
      <w:r w:rsidRPr="00740FC9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740FC9">
        <w:rPr>
          <w:rFonts w:ascii="Times New Roman" w:hAnsi="Times New Roman" w:cs="Times New Roman"/>
          <w:sz w:val="28"/>
          <w:szCs w:val="28"/>
        </w:rPr>
        <w:t xml:space="preserve"> осложнений; тем самым, ГУ </w:t>
      </w:r>
      <w:r w:rsidRPr="00740FC9">
        <w:rPr>
          <w:rFonts w:ascii="Times New Roman" w:hAnsi="Times New Roman" w:cs="Times New Roman"/>
          <w:sz w:val="28"/>
          <w:szCs w:val="28"/>
        </w:rPr>
        <w:lastRenderedPageBreak/>
        <w:t>не только ухудшает качество жизни, но и серьезно сокра</w:t>
      </w:r>
      <w:r w:rsidR="00740FC9">
        <w:rPr>
          <w:rFonts w:ascii="Times New Roman" w:hAnsi="Times New Roman" w:cs="Times New Roman"/>
          <w:sz w:val="28"/>
          <w:szCs w:val="28"/>
        </w:rPr>
        <w:t>щает ее продолжительность</w:t>
      </w:r>
      <w:r w:rsidRPr="00740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D8B" w:rsidRPr="00740FC9" w:rsidRDefault="002A634E" w:rsidP="00740F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0FC9">
        <w:rPr>
          <w:rFonts w:ascii="Times New Roman" w:hAnsi="Times New Roman" w:cs="Times New Roman"/>
          <w:sz w:val="28"/>
          <w:szCs w:val="28"/>
        </w:rPr>
        <w:t xml:space="preserve">Повышение распространенности ГУ связано преимущественно с факторами образа жизни, такими как обильное потребление богатой пуринами пищи (мяса, гусиных потрохов, морепродуктов), фруктозы, злоупотребление алкоголем, прием небольших доз аспирина и мочегонных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тиазидового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ряда. Нарушение метаболизма является фактором риска развития ГУ более чем у 50% пациентов с подагрой. Подагра тесно связана не только с АГ и заболеваниями</w:t>
      </w:r>
      <w:r w:rsidR="00740FC9">
        <w:rPr>
          <w:rFonts w:ascii="Times New Roman" w:hAnsi="Times New Roman" w:cs="Times New Roman"/>
          <w:sz w:val="28"/>
          <w:szCs w:val="28"/>
        </w:rPr>
        <w:t xml:space="preserve"> сосудов, но и с СД и ожирением.</w:t>
      </w:r>
    </w:p>
    <w:p w:rsidR="00FC4D8B" w:rsidRPr="00740FC9" w:rsidRDefault="002A634E" w:rsidP="00740F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0FC9">
        <w:rPr>
          <w:rFonts w:ascii="Times New Roman" w:hAnsi="Times New Roman" w:cs="Times New Roman"/>
          <w:sz w:val="28"/>
          <w:szCs w:val="28"/>
        </w:rPr>
        <w:t xml:space="preserve">Во многих исследованиях выявлены корреляционные связи между уровнем МК, АГ и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дислипидемией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гипертриглицеридемией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), при этом в качестве связующего звена выступает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инсулинорезистентность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(ИР), отмечена прямая корреляционная связь между ГУ, систолическим и диастолическим артериальным давлением (АД). При подагре в большей степени повышается диастолическое и среднее АД. В нескольких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проспективных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исследованиях была продемонстрирована связь между уровнем МК и развитием ССЗ у пациентов с АГ, которая усиливалась на фоне лечения диуретиками. Повышение уровня МК на 1 мг/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у пациентов с АГ приводит к увеличен</w:t>
      </w:r>
      <w:r w:rsidR="00740FC9">
        <w:rPr>
          <w:rFonts w:ascii="Times New Roman" w:hAnsi="Times New Roman" w:cs="Times New Roman"/>
          <w:sz w:val="28"/>
          <w:szCs w:val="28"/>
        </w:rPr>
        <w:t>ию частоты ССЗ на 10%</w:t>
      </w:r>
      <w:r w:rsidRPr="00740FC9">
        <w:rPr>
          <w:rFonts w:ascii="Times New Roman" w:hAnsi="Times New Roman" w:cs="Times New Roman"/>
          <w:sz w:val="28"/>
          <w:szCs w:val="28"/>
        </w:rPr>
        <w:t xml:space="preserve">. По данным E. </w:t>
      </w:r>
      <w:proofErr w:type="spellStart"/>
      <w:proofErr w:type="gramStart"/>
      <w:r w:rsidRPr="00740FC9">
        <w:rPr>
          <w:rFonts w:ascii="Times New Roman" w:hAnsi="Times New Roman" w:cs="Times New Roman"/>
          <w:sz w:val="28"/>
          <w:szCs w:val="28"/>
        </w:rPr>
        <w:t>Borona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., ИР у больных АГ выявлялась в 58% случаев, при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гипертриглицеридемии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– в 84,2%, при снижении уровня холестерина липопротеидов высокой плотности – в 88,1%, при нарушении толерантности к глюкозе – в 65,9%, при сочетании с СД 2-го типа – в 83,9</w:t>
      </w:r>
      <w:r w:rsidR="003B2A7D">
        <w:rPr>
          <w:rFonts w:ascii="Times New Roman" w:hAnsi="Times New Roman" w:cs="Times New Roman"/>
          <w:sz w:val="28"/>
          <w:szCs w:val="28"/>
        </w:rPr>
        <w:t>%, при наличии ГУ – в 62,8%</w:t>
      </w:r>
      <w:r w:rsidRPr="00740FC9">
        <w:rPr>
          <w:rFonts w:ascii="Times New Roman" w:hAnsi="Times New Roman" w:cs="Times New Roman"/>
          <w:sz w:val="28"/>
          <w:szCs w:val="28"/>
        </w:rPr>
        <w:t>. В современных зарубежных исследованиях была выявлена прямая линейная зависимость между наличием ИР и выраженностью ГУ у</w:t>
      </w:r>
      <w:proofErr w:type="gramEnd"/>
      <w:r w:rsidRPr="00740FC9">
        <w:rPr>
          <w:rFonts w:ascii="Times New Roman" w:hAnsi="Times New Roman" w:cs="Times New Roman"/>
          <w:sz w:val="28"/>
          <w:szCs w:val="28"/>
        </w:rPr>
        <w:t xml:space="preserve"> больных подагрой, которая становилась более значимой при сочетании с висцеральным ожирением, внося свою лепту в развитие ат</w:t>
      </w:r>
      <w:r w:rsidR="003B2A7D">
        <w:rPr>
          <w:rFonts w:ascii="Times New Roman" w:hAnsi="Times New Roman" w:cs="Times New Roman"/>
          <w:sz w:val="28"/>
          <w:szCs w:val="28"/>
        </w:rPr>
        <w:t>еросклероза у таких больных</w:t>
      </w:r>
      <w:r w:rsidRPr="00740FC9">
        <w:rPr>
          <w:rFonts w:ascii="Times New Roman" w:hAnsi="Times New Roman" w:cs="Times New Roman"/>
          <w:sz w:val="28"/>
          <w:szCs w:val="28"/>
        </w:rPr>
        <w:t xml:space="preserve">. Предполагают, что при ожирении не только снижается почечная экскреция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уратов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>, чем можно отчасти объяснить ГУ, но и значител</w:t>
      </w:r>
      <w:r w:rsidR="003B2A7D">
        <w:rPr>
          <w:rFonts w:ascii="Times New Roman" w:hAnsi="Times New Roman" w:cs="Times New Roman"/>
          <w:sz w:val="28"/>
          <w:szCs w:val="28"/>
        </w:rPr>
        <w:t>ьно возрастает их продукция</w:t>
      </w:r>
      <w:r w:rsidRPr="00740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D8B" w:rsidRPr="00740FC9" w:rsidRDefault="002A634E" w:rsidP="00740F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0FC9">
        <w:rPr>
          <w:rFonts w:ascii="Times New Roman" w:hAnsi="Times New Roman" w:cs="Times New Roman"/>
          <w:sz w:val="28"/>
          <w:szCs w:val="28"/>
        </w:rPr>
        <w:lastRenderedPageBreak/>
        <w:t xml:space="preserve">К числу основных механизмов развития АГ и </w:t>
      </w:r>
      <w:proofErr w:type="gramStart"/>
      <w:r w:rsidRPr="00740FC9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740FC9">
        <w:rPr>
          <w:rFonts w:ascii="Times New Roman" w:hAnsi="Times New Roman" w:cs="Times New Roman"/>
          <w:sz w:val="28"/>
          <w:szCs w:val="28"/>
        </w:rPr>
        <w:t xml:space="preserve"> нарушений при подагре относится ассоциация ИР с повышенной сим</w:t>
      </w:r>
      <w:r w:rsidR="003B2A7D">
        <w:rPr>
          <w:rFonts w:ascii="Times New Roman" w:hAnsi="Times New Roman" w:cs="Times New Roman"/>
          <w:sz w:val="28"/>
          <w:szCs w:val="28"/>
        </w:rPr>
        <w:t>патической активностью, обуслов</w:t>
      </w:r>
      <w:r w:rsidRPr="00740FC9">
        <w:rPr>
          <w:rFonts w:ascii="Times New Roman" w:hAnsi="Times New Roman" w:cs="Times New Roman"/>
          <w:sz w:val="28"/>
          <w:szCs w:val="28"/>
        </w:rPr>
        <w:t xml:space="preserve">ливающей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антинатрийуретический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эффект, активацию ренин-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ангиотензинальдостероновой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системы,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прессорное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действие на стенки сосудов и их спазм, что увеличивает сердечный выброс и приводит к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гиперволемии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. Гипоталамо-гипофизарная система активируется также под действием лептина, что приводит к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гиперсимпат</w:t>
      </w:r>
      <w:r w:rsidR="003B2A7D">
        <w:rPr>
          <w:rFonts w:ascii="Times New Roman" w:hAnsi="Times New Roman" w:cs="Times New Roman"/>
          <w:sz w:val="28"/>
          <w:szCs w:val="28"/>
        </w:rPr>
        <w:t>икотонии</w:t>
      </w:r>
      <w:proofErr w:type="spellEnd"/>
      <w:r w:rsidR="003B2A7D">
        <w:rPr>
          <w:rFonts w:ascii="Times New Roman" w:hAnsi="Times New Roman" w:cs="Times New Roman"/>
          <w:sz w:val="28"/>
          <w:szCs w:val="28"/>
        </w:rPr>
        <w:t xml:space="preserve"> и повышению АД</w:t>
      </w:r>
      <w:r w:rsidRPr="00740FC9">
        <w:rPr>
          <w:rFonts w:ascii="Times New Roman" w:hAnsi="Times New Roman" w:cs="Times New Roman"/>
          <w:sz w:val="28"/>
          <w:szCs w:val="28"/>
        </w:rPr>
        <w:t xml:space="preserve">. В результате развивающейся в указанных условиях тканевой ишемии происходит стимулирование клеточного распада энергоемкой субстанции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аденозинтрифосфата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до аденозина и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ксантина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и повышение выработки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ксантиноксидазы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. Под действием последней осуществляется расщепление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ксантина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, что приводит к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гиперпродукции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МК и свободных радикалов О</w:t>
      </w:r>
      <w:proofErr w:type="gramStart"/>
      <w:r w:rsidRPr="00740FC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40FC9">
        <w:rPr>
          <w:rFonts w:ascii="Times New Roman" w:hAnsi="Times New Roman" w:cs="Times New Roman"/>
          <w:sz w:val="28"/>
          <w:szCs w:val="28"/>
        </w:rPr>
        <w:t xml:space="preserve"> , особенно в условиях развития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реперфуз</w:t>
      </w:r>
      <w:r w:rsidR="003B2A7D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3B2A7D">
        <w:rPr>
          <w:rFonts w:ascii="Times New Roman" w:hAnsi="Times New Roman" w:cs="Times New Roman"/>
          <w:sz w:val="28"/>
          <w:szCs w:val="28"/>
        </w:rPr>
        <w:t xml:space="preserve"> при ишемическом повреждении</w:t>
      </w:r>
      <w:r w:rsidRPr="00740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D8B" w:rsidRPr="00740FC9" w:rsidRDefault="002A634E" w:rsidP="00740F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0FC9">
        <w:rPr>
          <w:rFonts w:ascii="Times New Roman" w:hAnsi="Times New Roman" w:cs="Times New Roman"/>
          <w:sz w:val="28"/>
          <w:szCs w:val="28"/>
        </w:rPr>
        <w:t xml:space="preserve">Связь ГУ c патологией сосудов была выявлена в нескольких экспериментальных моделях. У грызунов ГУ вызывали путем ингибирования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уриказы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, назначения диеты, богатой фруктозой, или удаления транспортера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уратов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GLUT-9 (кишечный транспортер глюкозы 9), что приводило к возникновению АГ и других признаков МС, а также к развитию атеросклероза сосудов почек. Данные исследований на клеточно-молекулярном уровне убедительно продемонстрировали, что высокий уровень МК вызывал активацию ренин-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ангиотензиновой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системы, снижение активности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синтазы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оксида азота, стимулировал пролиферацию гладкомышечных клеток кровеносных сосудов и способствовал развитию ИР. В проведенных исследованиях был объяснен механизм, по которому внутриклеточная растворенная МК может приводить к повышению уровня воспалительных медиаторов, повреждать эндотелий и стенки артерий, инициировать пролиферацию гладкомышечных клеток сосудов в противопоставление ее классическим антиоксидантным свойствам, которые, как правило, ограничены ее внеклеточным эффектом. При этом АГ и </w:t>
      </w:r>
      <w:r w:rsidRPr="00740FC9">
        <w:rPr>
          <w:rFonts w:ascii="Times New Roman" w:hAnsi="Times New Roman" w:cs="Times New Roman"/>
          <w:sz w:val="28"/>
          <w:szCs w:val="28"/>
        </w:rPr>
        <w:lastRenderedPageBreak/>
        <w:t>некоторые другие симптомы МС удавалось блокировать на раннем этапе путем прим</w:t>
      </w:r>
      <w:r w:rsidR="003B2A7D">
        <w:rPr>
          <w:rFonts w:ascii="Times New Roman" w:hAnsi="Times New Roman" w:cs="Times New Roman"/>
          <w:sz w:val="28"/>
          <w:szCs w:val="28"/>
        </w:rPr>
        <w:t xml:space="preserve">енения </w:t>
      </w:r>
      <w:proofErr w:type="spellStart"/>
      <w:r w:rsidR="003B2A7D">
        <w:rPr>
          <w:rFonts w:ascii="Times New Roman" w:hAnsi="Times New Roman" w:cs="Times New Roman"/>
          <w:sz w:val="28"/>
          <w:szCs w:val="28"/>
        </w:rPr>
        <w:t>уратснижающих</w:t>
      </w:r>
      <w:proofErr w:type="spellEnd"/>
      <w:r w:rsidR="003B2A7D">
        <w:rPr>
          <w:rFonts w:ascii="Times New Roman" w:hAnsi="Times New Roman" w:cs="Times New Roman"/>
          <w:sz w:val="28"/>
          <w:szCs w:val="28"/>
        </w:rPr>
        <w:t xml:space="preserve"> препаратов.</w:t>
      </w:r>
    </w:p>
    <w:p w:rsidR="00FC4D8B" w:rsidRPr="00740FC9" w:rsidRDefault="002A634E" w:rsidP="00740F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0FC9">
        <w:rPr>
          <w:rFonts w:ascii="Times New Roman" w:hAnsi="Times New Roman" w:cs="Times New Roman"/>
          <w:sz w:val="28"/>
          <w:szCs w:val="28"/>
        </w:rPr>
        <w:t xml:space="preserve">В исследовании S.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Ouppatham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740FC9">
        <w:rPr>
          <w:rFonts w:ascii="Times New Roman" w:hAnsi="Times New Roman" w:cs="Times New Roman"/>
          <w:sz w:val="28"/>
          <w:szCs w:val="28"/>
        </w:rPr>
        <w:t>включавшем</w:t>
      </w:r>
      <w:proofErr w:type="gramEnd"/>
      <w:r w:rsidRPr="00740FC9">
        <w:rPr>
          <w:rFonts w:ascii="Times New Roman" w:hAnsi="Times New Roman" w:cs="Times New Roman"/>
          <w:sz w:val="28"/>
          <w:szCs w:val="28"/>
        </w:rPr>
        <w:t xml:space="preserve"> более 5500 тайских военных, было установлено, что ГУ способствует повышению систолического и диастолического АД. Это исследование интересно тем, что перед оценкой распространенности АГ у обследованных лиц с ГУ из анализа были исключены пациенты, имеющие потенциальные факторы риска АГ, в том числе признаки поражения почек, не связанные с ГУ. Авторам удалось доказать, что ГУ является независимым фактором</w:t>
      </w:r>
      <w:r w:rsidR="003B2A7D">
        <w:rPr>
          <w:rFonts w:ascii="Times New Roman" w:hAnsi="Times New Roman" w:cs="Times New Roman"/>
          <w:sz w:val="28"/>
          <w:szCs w:val="28"/>
        </w:rPr>
        <w:t xml:space="preserve"> риска развития АГ. </w:t>
      </w:r>
      <w:r w:rsidRPr="00740FC9">
        <w:rPr>
          <w:rFonts w:ascii="Times New Roman" w:hAnsi="Times New Roman" w:cs="Times New Roman"/>
          <w:sz w:val="28"/>
          <w:szCs w:val="28"/>
        </w:rPr>
        <w:t>Помимо влияния ГУ на формирование коронарного атеросклероза в ряде исследований отмечена ее тесная связь с атеросклеротическим поражением сонных артерий, инсультом, пре эк</w:t>
      </w:r>
      <w:r w:rsidR="003B2A7D">
        <w:rPr>
          <w:rFonts w:ascii="Times New Roman" w:hAnsi="Times New Roman" w:cs="Times New Roman"/>
          <w:sz w:val="28"/>
          <w:szCs w:val="28"/>
        </w:rPr>
        <w:t>лампсией и сосудистой деменцией.</w:t>
      </w:r>
    </w:p>
    <w:p w:rsidR="00FC4D8B" w:rsidRPr="00740FC9" w:rsidRDefault="002A634E" w:rsidP="00740FC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C9">
        <w:rPr>
          <w:rFonts w:ascii="Times New Roman" w:hAnsi="Times New Roman" w:cs="Times New Roman"/>
          <w:b/>
          <w:sz w:val="28"/>
          <w:szCs w:val="28"/>
        </w:rPr>
        <w:t>Тактика ведения больных с ГУ и ССЗ</w:t>
      </w:r>
    </w:p>
    <w:p w:rsidR="00FC4D8B" w:rsidRPr="00740FC9" w:rsidRDefault="002A634E" w:rsidP="00740F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0FC9">
        <w:rPr>
          <w:rFonts w:ascii="Times New Roman" w:hAnsi="Times New Roman" w:cs="Times New Roman"/>
          <w:sz w:val="28"/>
          <w:szCs w:val="28"/>
        </w:rPr>
        <w:t>Лечение подагры у большинства больных по-прежнему является далеко не оптимальным, особенно у лиц пожилого возраста. Только 50% пациентов, страдающих этим заболеванием, получают терапию, снижающую уровень МК в сыворотке крови, и даже в этом случае дозы препаратов недостаточны для эффективного сни</w:t>
      </w:r>
      <w:r w:rsidR="003B2A7D">
        <w:rPr>
          <w:rFonts w:ascii="Times New Roman" w:hAnsi="Times New Roman" w:cs="Times New Roman"/>
          <w:sz w:val="28"/>
          <w:szCs w:val="28"/>
        </w:rPr>
        <w:t xml:space="preserve">жения ее уровня </w:t>
      </w:r>
      <w:proofErr w:type="gramStart"/>
      <w:r w:rsidR="003B2A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B2A7D">
        <w:rPr>
          <w:rFonts w:ascii="Times New Roman" w:hAnsi="Times New Roman" w:cs="Times New Roman"/>
          <w:sz w:val="28"/>
          <w:szCs w:val="28"/>
        </w:rPr>
        <w:t xml:space="preserve"> целевого</w:t>
      </w:r>
      <w:r w:rsidRPr="00740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D8B" w:rsidRPr="00740FC9" w:rsidRDefault="002A634E" w:rsidP="00740F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0FC9">
        <w:rPr>
          <w:rFonts w:ascii="Times New Roman" w:hAnsi="Times New Roman" w:cs="Times New Roman"/>
          <w:sz w:val="28"/>
          <w:szCs w:val="28"/>
        </w:rPr>
        <w:t xml:space="preserve">Одной из основных задач в алгоритме ведения пациентов с подагрой является рационализация терапии с акцентом на </w:t>
      </w:r>
      <w:proofErr w:type="gramStart"/>
      <w:r w:rsidRPr="00740FC9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740FC9">
        <w:rPr>
          <w:rFonts w:ascii="Times New Roman" w:hAnsi="Times New Roman" w:cs="Times New Roman"/>
          <w:sz w:val="28"/>
          <w:szCs w:val="28"/>
        </w:rPr>
        <w:t xml:space="preserve"> факторах риска и метаболической безопасности препаратов. До сих пор в большинстве случаев врачи ограничивались лишь рекомендациями по диете, основываясь на ограничении потребления пуринов и алкоголя. Неоднократно отмечалось, что среди больных подагрой еженедельный прием алкоголя в 2 раза выше, чем у лиц контрольной группы такого же пола, возраста и с такой же массой тела. Прием алкоголя, изолированно или в сочетании с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высокопуриновой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пищей, оказывает больший эффект на сывороточное содержание МК, чем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высокопуриновая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диета. Считается, что недостаточная </w:t>
      </w:r>
      <w:r w:rsidRPr="00740FC9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умеренных доз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аллопуринола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, проявляющаяся атаками артрита, является отражением того, что больной продолжает принимать алкоголь, вызывающий быстрое изменение концентрации МК. </w:t>
      </w:r>
    </w:p>
    <w:p w:rsidR="00FC4D8B" w:rsidRPr="00740FC9" w:rsidRDefault="002A634E" w:rsidP="00740F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0FC9">
        <w:rPr>
          <w:rFonts w:ascii="Times New Roman" w:hAnsi="Times New Roman" w:cs="Times New Roman"/>
          <w:sz w:val="28"/>
          <w:szCs w:val="28"/>
        </w:rPr>
        <w:t xml:space="preserve">Механизм действия алкоголя заключается не только в высоком содержании пуриновых компонентов в ряде напитков, например в </w:t>
      </w:r>
      <w:proofErr w:type="gramStart"/>
      <w:r w:rsidRPr="00740FC9">
        <w:rPr>
          <w:rFonts w:ascii="Times New Roman" w:hAnsi="Times New Roman" w:cs="Times New Roman"/>
          <w:sz w:val="28"/>
          <w:szCs w:val="28"/>
        </w:rPr>
        <w:t>пиве</w:t>
      </w:r>
      <w:proofErr w:type="gramEnd"/>
      <w:r w:rsidRPr="00740FC9">
        <w:rPr>
          <w:rFonts w:ascii="Times New Roman" w:hAnsi="Times New Roman" w:cs="Times New Roman"/>
          <w:sz w:val="28"/>
          <w:szCs w:val="28"/>
        </w:rPr>
        <w:t xml:space="preserve"> и вине. Острый алкогольный эксцесс приводит к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гиперлактатемии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0FC9">
        <w:rPr>
          <w:rFonts w:ascii="Times New Roman" w:hAnsi="Times New Roman" w:cs="Times New Roman"/>
          <w:sz w:val="28"/>
          <w:szCs w:val="28"/>
        </w:rPr>
        <w:t>оказывающей</w:t>
      </w:r>
      <w:proofErr w:type="gramEnd"/>
      <w:r w:rsidRPr="00740FC9">
        <w:rPr>
          <w:rFonts w:ascii="Times New Roman" w:hAnsi="Times New Roman" w:cs="Times New Roman"/>
          <w:sz w:val="28"/>
          <w:szCs w:val="28"/>
        </w:rPr>
        <w:t xml:space="preserve"> тормозящее влияние на экскрецию МК. Такой же эффект оказывает свинец, содержащийся в портвейне и виски.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Метаболизируясь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в организме, этанол стимулирует образование пуринов. И наконец, этанол ингибирует преобразование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аллопуринола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в его активный метаболит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оксипуринол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, в связи с чем экскреция почками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неметаболизированного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аллопуринола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возрастает, а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уратс</w:t>
      </w:r>
      <w:r w:rsidR="003B2A7D">
        <w:rPr>
          <w:rFonts w:ascii="Times New Roman" w:hAnsi="Times New Roman" w:cs="Times New Roman"/>
          <w:sz w:val="28"/>
          <w:szCs w:val="28"/>
        </w:rPr>
        <w:t>нижающий</w:t>
      </w:r>
      <w:proofErr w:type="spellEnd"/>
      <w:r w:rsidR="003B2A7D">
        <w:rPr>
          <w:rFonts w:ascii="Times New Roman" w:hAnsi="Times New Roman" w:cs="Times New Roman"/>
          <w:sz w:val="28"/>
          <w:szCs w:val="28"/>
        </w:rPr>
        <w:t xml:space="preserve"> эффект уменьшается</w:t>
      </w:r>
      <w:r w:rsidRPr="00740FC9">
        <w:rPr>
          <w:rFonts w:ascii="Times New Roman" w:hAnsi="Times New Roman" w:cs="Times New Roman"/>
          <w:sz w:val="28"/>
          <w:szCs w:val="28"/>
        </w:rPr>
        <w:t xml:space="preserve">. Недавно было отмечено, что снижение массы тела, достигаемое путем умеренного ограничения потребления углеводов и уменьшения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калоража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пищи в сочетании с пропорциональным повышением потребления белка и ненасыщенных жирных кислот, приводило у больных подагрой к значительному снижению уровня МК и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дислипидемии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>. Эти данные свидетельствуют о необходимости пересмотра рекомендаций по</w:t>
      </w:r>
      <w:r w:rsidR="003B2A7D">
        <w:rPr>
          <w:rFonts w:ascii="Times New Roman" w:hAnsi="Times New Roman" w:cs="Times New Roman"/>
          <w:sz w:val="28"/>
          <w:szCs w:val="28"/>
        </w:rPr>
        <w:t xml:space="preserve"> диете для больных подагрой</w:t>
      </w:r>
      <w:r w:rsidRPr="00740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D8B" w:rsidRPr="00740FC9" w:rsidRDefault="002A634E" w:rsidP="00740F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0FC9">
        <w:rPr>
          <w:rFonts w:ascii="Times New Roman" w:hAnsi="Times New Roman" w:cs="Times New Roman"/>
          <w:sz w:val="28"/>
          <w:szCs w:val="28"/>
        </w:rPr>
        <w:t xml:space="preserve">У больных подагрой важнейшее значение имеет метаболическая безопасность препаратов, применяемых для лечения АГ, ишемической болезни сердца, хронической сердечной недостаточности (ХСН). Под этим понятием следует подразумевать влияние не только на липидный и углеводный, но и на пуриновый обмен. Препараты, обладающие метаболической нейтральностью, не способствующие развитию липидных нарушений и ИР, могут заведомо считаться не вызывающими ГУ. В первую очередь это ингибиторы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ангиотензинпревращающего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фермента, блокаторы рецепторов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ангиотензина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II, антагонисты кальция и агонисты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имидазолиновых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рецепторов. Наибольшие трудности в выборе </w:t>
      </w:r>
      <w:r w:rsidRPr="00740FC9">
        <w:rPr>
          <w:rFonts w:ascii="Times New Roman" w:hAnsi="Times New Roman" w:cs="Times New Roman"/>
          <w:sz w:val="28"/>
          <w:szCs w:val="28"/>
        </w:rPr>
        <w:lastRenderedPageBreak/>
        <w:t xml:space="preserve">терапевтической тактики у больных подагрой возникают при наличии ХСН. С одной стороны, лишь у немногих больных с ХСН удается поддерживать натриевый баланс без приема диуретиков, что закономерно приводит к обострению и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хронизации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подагрического артрита, с другой стороны, применение нестероидных противовоспалительных препаратов быстро вызывает отрицательные гемодинамические эффекты. Доказано, что низкие дозы ацетилсалициловой кислоты способствуют развитию ГУ и снижению функции почек, особенно у пожилых бол</w:t>
      </w:r>
      <w:r w:rsidR="003B2A7D">
        <w:rPr>
          <w:rFonts w:ascii="Times New Roman" w:hAnsi="Times New Roman" w:cs="Times New Roman"/>
          <w:sz w:val="28"/>
          <w:szCs w:val="28"/>
        </w:rPr>
        <w:t>ьных в 1-ю неделю применения.</w:t>
      </w:r>
      <w:r w:rsidRPr="00740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D8B" w:rsidRPr="00740FC9" w:rsidRDefault="002A634E" w:rsidP="00740F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0FC9">
        <w:rPr>
          <w:rFonts w:ascii="Times New Roman" w:hAnsi="Times New Roman" w:cs="Times New Roman"/>
          <w:sz w:val="28"/>
          <w:szCs w:val="28"/>
        </w:rPr>
        <w:t xml:space="preserve">Общепринятое более 30 лет назад положение о том, что ГУ является следствием, а не самостоятельной причиной ССЗ и высокой смертности от них, может быть подвергнуто сомнению, это особенно актуально для </w:t>
      </w:r>
      <w:proofErr w:type="gramStart"/>
      <w:r w:rsidRPr="00740FC9">
        <w:rPr>
          <w:rFonts w:ascii="Times New Roman" w:hAnsi="Times New Roman" w:cs="Times New Roman"/>
          <w:sz w:val="28"/>
          <w:szCs w:val="28"/>
        </w:rPr>
        <w:t>пациентов</w:t>
      </w:r>
      <w:proofErr w:type="gramEnd"/>
      <w:r w:rsidRPr="00740FC9">
        <w:rPr>
          <w:rFonts w:ascii="Times New Roman" w:hAnsi="Times New Roman" w:cs="Times New Roman"/>
          <w:sz w:val="28"/>
          <w:szCs w:val="28"/>
        </w:rPr>
        <w:t xml:space="preserve"> как с подагрой, так и с бессимптомной ГУ. Поэтому стратегия ведения пациента должна включать скрининг и коррекцию пуринового (в том числе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асимптоматической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ГУ), липидного и углеводного обмена, профилактику развития кардиоваскулярных </w:t>
      </w:r>
      <w:r w:rsidR="003B2A7D">
        <w:rPr>
          <w:rFonts w:ascii="Times New Roman" w:hAnsi="Times New Roman" w:cs="Times New Roman"/>
          <w:sz w:val="28"/>
          <w:szCs w:val="28"/>
        </w:rPr>
        <w:t>осложнений.</w:t>
      </w:r>
    </w:p>
    <w:p w:rsidR="00FC4D8B" w:rsidRPr="00740FC9" w:rsidRDefault="002A634E" w:rsidP="00740FC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C9">
        <w:rPr>
          <w:rFonts w:ascii="Times New Roman" w:hAnsi="Times New Roman" w:cs="Times New Roman"/>
          <w:b/>
          <w:sz w:val="28"/>
          <w:szCs w:val="28"/>
        </w:rPr>
        <w:t xml:space="preserve">Тактика </w:t>
      </w:r>
      <w:proofErr w:type="spellStart"/>
      <w:r w:rsidRPr="00740FC9">
        <w:rPr>
          <w:rFonts w:ascii="Times New Roman" w:hAnsi="Times New Roman" w:cs="Times New Roman"/>
          <w:b/>
          <w:sz w:val="28"/>
          <w:szCs w:val="28"/>
        </w:rPr>
        <w:t>уратснижающей</w:t>
      </w:r>
      <w:proofErr w:type="spellEnd"/>
      <w:r w:rsidRPr="00740FC9">
        <w:rPr>
          <w:rFonts w:ascii="Times New Roman" w:hAnsi="Times New Roman" w:cs="Times New Roman"/>
          <w:b/>
          <w:sz w:val="28"/>
          <w:szCs w:val="28"/>
        </w:rPr>
        <w:t xml:space="preserve"> терапии</w:t>
      </w:r>
    </w:p>
    <w:p w:rsidR="00FC4D8B" w:rsidRPr="00740FC9" w:rsidRDefault="002A634E" w:rsidP="00740F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0FC9"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уратснижающей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терапии следует обсуждать с каждым пациентом. Эта терапия показана всем лицам после первого обострения заболевания, тем более при наличии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тофусов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уратной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нефропатии.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Уратснижающую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терапию рекомендуется начинать сразу же после установления диагноза у пациентов в возрасте до 40 лет, и/или с высоким уровнем МК в сыворотке крови (более 8 мг/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или 480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/л), и/или с такими сопутствующими заболеваниями, как почечная недостаточность, АГ, ишемическая болезнь сердца, ХСН и др. </w:t>
      </w:r>
    </w:p>
    <w:p w:rsidR="00740FC9" w:rsidRPr="00740FC9" w:rsidRDefault="002A634E" w:rsidP="00740F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0FC9">
        <w:rPr>
          <w:rFonts w:ascii="Times New Roman" w:hAnsi="Times New Roman" w:cs="Times New Roman"/>
          <w:sz w:val="28"/>
          <w:szCs w:val="28"/>
        </w:rPr>
        <w:t>Целевым уровнем МК следует считать менее 6 мг/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или 360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/л, т.е. ниже точки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супернасыщения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МУН, этот уровень необходимо поддерживать на протяжении всей жизни. С целью растворения имеющихся подагрических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тофусов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, профилактики обострений хронической </w:t>
      </w:r>
      <w:r w:rsidRPr="00740FC9">
        <w:rPr>
          <w:rFonts w:ascii="Times New Roman" w:hAnsi="Times New Roman" w:cs="Times New Roman"/>
          <w:sz w:val="28"/>
          <w:szCs w:val="28"/>
        </w:rPr>
        <w:lastRenderedPageBreak/>
        <w:t xml:space="preserve">подагрической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артропатии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необходимо стремиться к сывороточной концентрации МК</w:t>
      </w:r>
      <w:r w:rsidR="00FC4D8B" w:rsidRPr="00740FC9">
        <w:rPr>
          <w:rFonts w:ascii="Times New Roman" w:hAnsi="Times New Roman" w:cs="Times New Roman"/>
          <w:sz w:val="28"/>
          <w:szCs w:val="28"/>
        </w:rPr>
        <w:t xml:space="preserve"> &lt; 5 мг/</w:t>
      </w:r>
      <w:proofErr w:type="spellStart"/>
      <w:r w:rsidR="00FC4D8B" w:rsidRPr="00740FC9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="00FC4D8B" w:rsidRPr="00740FC9">
        <w:rPr>
          <w:rFonts w:ascii="Times New Roman" w:hAnsi="Times New Roman" w:cs="Times New Roman"/>
          <w:sz w:val="28"/>
          <w:szCs w:val="28"/>
        </w:rPr>
        <w:t xml:space="preserve"> или 300 </w:t>
      </w:r>
      <w:proofErr w:type="spellStart"/>
      <w:r w:rsidR="00FC4D8B" w:rsidRPr="00740FC9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="00FC4D8B" w:rsidRPr="00740FC9">
        <w:rPr>
          <w:rFonts w:ascii="Times New Roman" w:hAnsi="Times New Roman" w:cs="Times New Roman"/>
          <w:sz w:val="28"/>
          <w:szCs w:val="28"/>
        </w:rPr>
        <w:t>/л. Но при этом не рекомендуется поддерживать уровень МК ≤3 м</w:t>
      </w:r>
      <w:r w:rsidR="003B2A7D">
        <w:rPr>
          <w:rFonts w:ascii="Times New Roman" w:hAnsi="Times New Roman" w:cs="Times New Roman"/>
          <w:sz w:val="28"/>
          <w:szCs w:val="28"/>
        </w:rPr>
        <w:t>г/</w:t>
      </w:r>
      <w:proofErr w:type="spellStart"/>
      <w:r w:rsidR="003B2A7D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="003B2A7D">
        <w:rPr>
          <w:rFonts w:ascii="Times New Roman" w:hAnsi="Times New Roman" w:cs="Times New Roman"/>
          <w:sz w:val="28"/>
          <w:szCs w:val="28"/>
        </w:rPr>
        <w:t xml:space="preserve"> в долгосрочной перспективе.</w:t>
      </w:r>
    </w:p>
    <w:p w:rsidR="00740FC9" w:rsidRPr="00740FC9" w:rsidRDefault="00FC4D8B" w:rsidP="00740F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Уратснижающую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терапию следует начинать с низких доз препаратов с последующим их титрованием. Эффективная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уратснижающая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терапия предупреждает повторное появление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тофусов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после растворения всех кристаллов. У больных с нормальной функцией почек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аллопуринол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рекомендуется как препарат первой линии. Стартовая доза составляет 100 мг/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с дальнейшим ее повышением на 100 мг каждые 2–4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до достижения целевого уровня МК в крови, максимальная доза – 900 мг/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. Предполагается, что каждые 100 мг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аллопуринола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снизят концентрацию МК на 1 мг/дл. Благоприятный терапевтический эффект может быть достигнут, если начальная доза препарата будет равняться приблизительно 100–200 мг/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>, поддерживающая доза – 300–600 мг/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и максимальная – 700–900 мг/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. Если не удается достичь нужного уровня МК, следует заменить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аллопуринол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фебуксостат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урикозурические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препараты (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пробенецид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бензбромарон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) или назначить комбинацию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аллопуринола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урикозурического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препарата. Если отмечается непереносимость</w:t>
      </w:r>
      <w:r w:rsidR="00740FC9" w:rsidRPr="0074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FC9" w:rsidRPr="00740FC9">
        <w:rPr>
          <w:rFonts w:ascii="Times New Roman" w:hAnsi="Times New Roman" w:cs="Times New Roman"/>
          <w:sz w:val="28"/>
          <w:szCs w:val="28"/>
        </w:rPr>
        <w:t>аллопуринола</w:t>
      </w:r>
      <w:proofErr w:type="spellEnd"/>
      <w:r w:rsidR="00740FC9" w:rsidRPr="00740FC9">
        <w:rPr>
          <w:rFonts w:ascii="Times New Roman" w:hAnsi="Times New Roman" w:cs="Times New Roman"/>
          <w:sz w:val="28"/>
          <w:szCs w:val="28"/>
        </w:rPr>
        <w:t xml:space="preserve">, то начинать терапию можно с </w:t>
      </w:r>
      <w:proofErr w:type="spellStart"/>
      <w:r w:rsidR="00740FC9" w:rsidRPr="00740FC9">
        <w:rPr>
          <w:rFonts w:ascii="Times New Roman" w:hAnsi="Times New Roman" w:cs="Times New Roman"/>
          <w:sz w:val="28"/>
          <w:szCs w:val="28"/>
        </w:rPr>
        <w:t>фебуксостата</w:t>
      </w:r>
      <w:proofErr w:type="spellEnd"/>
      <w:r w:rsidR="00740FC9" w:rsidRPr="00740FC9">
        <w:rPr>
          <w:rFonts w:ascii="Times New Roman" w:hAnsi="Times New Roman" w:cs="Times New Roman"/>
          <w:sz w:val="28"/>
          <w:szCs w:val="28"/>
        </w:rPr>
        <w:t xml:space="preserve"> (аналог в России </w:t>
      </w:r>
      <w:proofErr w:type="spellStart"/>
      <w:r w:rsidR="00740FC9" w:rsidRPr="00740FC9">
        <w:rPr>
          <w:rFonts w:ascii="Times New Roman" w:hAnsi="Times New Roman" w:cs="Times New Roman"/>
          <w:sz w:val="28"/>
          <w:szCs w:val="28"/>
        </w:rPr>
        <w:t>Аденурик</w:t>
      </w:r>
      <w:proofErr w:type="spellEnd"/>
      <w:r w:rsidR="00740FC9" w:rsidRPr="00740FC9">
        <w:rPr>
          <w:rFonts w:ascii="Times New Roman" w:hAnsi="Times New Roman" w:cs="Times New Roman"/>
          <w:sz w:val="28"/>
          <w:szCs w:val="28"/>
        </w:rPr>
        <w:t>)</w:t>
      </w:r>
      <w:r w:rsidR="003B2A7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3B2A7D">
        <w:rPr>
          <w:rFonts w:ascii="Times New Roman" w:hAnsi="Times New Roman" w:cs="Times New Roman"/>
          <w:sz w:val="28"/>
          <w:szCs w:val="28"/>
        </w:rPr>
        <w:t>урикозурических</w:t>
      </w:r>
      <w:proofErr w:type="spellEnd"/>
      <w:r w:rsidR="003B2A7D">
        <w:rPr>
          <w:rFonts w:ascii="Times New Roman" w:hAnsi="Times New Roman" w:cs="Times New Roman"/>
          <w:sz w:val="28"/>
          <w:szCs w:val="28"/>
        </w:rPr>
        <w:t xml:space="preserve"> препаратов.</w:t>
      </w:r>
    </w:p>
    <w:p w:rsidR="00740FC9" w:rsidRPr="00740FC9" w:rsidRDefault="00740FC9" w:rsidP="00740F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0FC9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аллопуринола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фебуксостат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связывается с обеими формами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ксантиноксиредуктазы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– редуцированной и оксидированной и не ингибирует другие ферменты, участвующие в метаболизме пуринов и пиримидинов.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Фебуксостат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метаболизируется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в печени, при этом почки не являются основным путем выведения, что позволяет использовать препарат для лечения пациентов с легкой или умеренной почечной недостаточностью. В ходе II фазы краткосрочного наблюдения в трех крупных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рандомизированных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клинических исследованиях была отмечена более высокая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уратснижающая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фебуксостата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в суточной дозе 80 </w:t>
      </w:r>
      <w:r w:rsidRPr="00740FC9">
        <w:rPr>
          <w:rFonts w:ascii="Times New Roman" w:hAnsi="Times New Roman" w:cs="Times New Roman"/>
          <w:sz w:val="28"/>
          <w:szCs w:val="28"/>
        </w:rPr>
        <w:lastRenderedPageBreak/>
        <w:t xml:space="preserve">или 120 мг по сравнению с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аллопуринолом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в с</w:t>
      </w:r>
      <w:r w:rsidR="003B2A7D">
        <w:rPr>
          <w:rFonts w:ascii="Times New Roman" w:hAnsi="Times New Roman" w:cs="Times New Roman"/>
          <w:sz w:val="28"/>
          <w:szCs w:val="28"/>
        </w:rPr>
        <w:t>тандартной суточной дозе 300 мг.</w:t>
      </w:r>
    </w:p>
    <w:p w:rsidR="00740FC9" w:rsidRPr="00740FC9" w:rsidRDefault="00740FC9" w:rsidP="00740F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0FC9">
        <w:rPr>
          <w:rFonts w:ascii="Times New Roman" w:hAnsi="Times New Roman" w:cs="Times New Roman"/>
          <w:sz w:val="28"/>
          <w:szCs w:val="28"/>
        </w:rPr>
        <w:t xml:space="preserve">Несмотря на сведения о редких нежелательных кожных реакциях у пациентов, принимающих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фебуксостат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, недавно полученные данные не подтвердили перекрестную реактивность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аллопуринола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фебуксостата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. Наличие аллергических реакций на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аллопуринол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в анамнезе не является противопоказанием для приема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фебуксостата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>, но одновременно диктует необходимость тщательного мониторинга состояния пац</w:t>
      </w:r>
      <w:r w:rsidR="003B2A7D">
        <w:rPr>
          <w:rFonts w:ascii="Times New Roman" w:hAnsi="Times New Roman" w:cs="Times New Roman"/>
          <w:sz w:val="28"/>
          <w:szCs w:val="28"/>
        </w:rPr>
        <w:t xml:space="preserve">иентов, принимающих </w:t>
      </w:r>
      <w:proofErr w:type="spellStart"/>
      <w:r w:rsidR="003B2A7D">
        <w:rPr>
          <w:rFonts w:ascii="Times New Roman" w:hAnsi="Times New Roman" w:cs="Times New Roman"/>
          <w:sz w:val="28"/>
          <w:szCs w:val="28"/>
        </w:rPr>
        <w:t>фебуксостат</w:t>
      </w:r>
      <w:proofErr w:type="spellEnd"/>
      <w:r w:rsidR="003B2A7D">
        <w:rPr>
          <w:rFonts w:ascii="Times New Roman" w:hAnsi="Times New Roman" w:cs="Times New Roman"/>
          <w:sz w:val="28"/>
          <w:szCs w:val="28"/>
        </w:rPr>
        <w:t>.</w:t>
      </w:r>
    </w:p>
    <w:p w:rsidR="00740FC9" w:rsidRPr="00740FC9" w:rsidRDefault="00740FC9" w:rsidP="00740F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Фебуксостат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740FC9">
        <w:rPr>
          <w:rFonts w:ascii="Times New Roman" w:hAnsi="Times New Roman" w:cs="Times New Roman"/>
          <w:sz w:val="28"/>
          <w:szCs w:val="28"/>
        </w:rPr>
        <w:t>эффективен</w:t>
      </w:r>
      <w:proofErr w:type="gramEnd"/>
      <w:r w:rsidRPr="00740FC9">
        <w:rPr>
          <w:rFonts w:ascii="Times New Roman" w:hAnsi="Times New Roman" w:cs="Times New Roman"/>
          <w:sz w:val="28"/>
          <w:szCs w:val="28"/>
        </w:rPr>
        <w:t xml:space="preserve">, чем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аллопуринол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, при лечении пациентов с хронической болезнью почек при приеме в дозах, подобранных в соответствии с клиренсом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>, поэтому для указанной группы пациенто</w:t>
      </w:r>
      <w:r w:rsidR="003B2A7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B2A7D">
        <w:rPr>
          <w:rFonts w:ascii="Times New Roman" w:hAnsi="Times New Roman" w:cs="Times New Roman"/>
          <w:sz w:val="28"/>
          <w:szCs w:val="28"/>
        </w:rPr>
        <w:t>фебуксостат</w:t>
      </w:r>
      <w:proofErr w:type="spellEnd"/>
      <w:r w:rsidR="003B2A7D">
        <w:rPr>
          <w:rFonts w:ascii="Times New Roman" w:hAnsi="Times New Roman" w:cs="Times New Roman"/>
          <w:sz w:val="28"/>
          <w:szCs w:val="28"/>
        </w:rPr>
        <w:t xml:space="preserve"> не противопоказан.</w:t>
      </w:r>
    </w:p>
    <w:p w:rsidR="00740FC9" w:rsidRPr="00740FC9" w:rsidRDefault="00740FC9" w:rsidP="00740F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0FC9">
        <w:rPr>
          <w:rFonts w:ascii="Times New Roman" w:hAnsi="Times New Roman" w:cs="Times New Roman"/>
          <w:sz w:val="28"/>
          <w:szCs w:val="28"/>
        </w:rPr>
        <w:t xml:space="preserve">Пациентам с нарушениями функции почек дозу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аллопуринола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подбирают под контролем клиренса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. Если не удается достичь целевого уровня МК в сыворотке крови, больному назначают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фебуксостат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бензбромарон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в комбинации с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аллопуринолом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или без него, за исключением пациентов с расчетной скоростью клубочковой фильтрации менее 30 мл/мин/1,73 м</w:t>
      </w:r>
      <w:proofErr w:type="gramStart"/>
      <w:r w:rsidRPr="00740FC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40FC9">
        <w:rPr>
          <w:rFonts w:ascii="Times New Roman" w:hAnsi="Times New Roman" w:cs="Times New Roman"/>
          <w:sz w:val="28"/>
          <w:szCs w:val="28"/>
        </w:rPr>
        <w:t xml:space="preserve"> . Рекомендуется регулярно определять расчетную скорость клубочковой фильтрации и уровень МК в крови. </w:t>
      </w:r>
    </w:p>
    <w:p w:rsidR="00740FC9" w:rsidRPr="00740FC9" w:rsidRDefault="00740FC9" w:rsidP="00740F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0FC9">
        <w:rPr>
          <w:rFonts w:ascii="Times New Roman" w:hAnsi="Times New Roman" w:cs="Times New Roman"/>
          <w:sz w:val="28"/>
          <w:szCs w:val="28"/>
        </w:rPr>
        <w:t xml:space="preserve">В случае развития подагры у лиц, получающих терапию </w:t>
      </w:r>
      <w:proofErr w:type="gramStart"/>
      <w:r w:rsidRPr="00740FC9">
        <w:rPr>
          <w:rFonts w:ascii="Times New Roman" w:hAnsi="Times New Roman" w:cs="Times New Roman"/>
          <w:sz w:val="28"/>
          <w:szCs w:val="28"/>
        </w:rPr>
        <w:t>петлевыми</w:t>
      </w:r>
      <w:proofErr w:type="gramEnd"/>
      <w:r w:rsidRPr="00740FC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тиазидными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диуретиками, при возможности нужно сменить мочегонный препарат. Больным подагрой с АГ следует назначать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лозартан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или блокаторы кальциевых каналов, больным с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гиперлипи</w:t>
      </w:r>
      <w:r w:rsidR="003B2A7D">
        <w:rPr>
          <w:rFonts w:ascii="Times New Roman" w:hAnsi="Times New Roman" w:cs="Times New Roman"/>
          <w:sz w:val="28"/>
          <w:szCs w:val="28"/>
        </w:rPr>
        <w:t>демией</w:t>
      </w:r>
      <w:proofErr w:type="spellEnd"/>
      <w:r w:rsidR="003B2A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B2A7D">
        <w:rPr>
          <w:rFonts w:ascii="Times New Roman" w:hAnsi="Times New Roman" w:cs="Times New Roman"/>
          <w:sz w:val="28"/>
          <w:szCs w:val="28"/>
        </w:rPr>
        <w:t>статины</w:t>
      </w:r>
      <w:proofErr w:type="spellEnd"/>
      <w:r w:rsidR="003B2A7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3B2A7D">
        <w:rPr>
          <w:rFonts w:ascii="Times New Roman" w:hAnsi="Times New Roman" w:cs="Times New Roman"/>
          <w:sz w:val="28"/>
          <w:szCs w:val="28"/>
        </w:rPr>
        <w:t>фенофибрат</w:t>
      </w:r>
      <w:proofErr w:type="spellEnd"/>
      <w:r w:rsidR="003B2A7D">
        <w:rPr>
          <w:rFonts w:ascii="Times New Roman" w:hAnsi="Times New Roman" w:cs="Times New Roman"/>
          <w:sz w:val="28"/>
          <w:szCs w:val="28"/>
        </w:rPr>
        <w:t>.</w:t>
      </w:r>
    </w:p>
    <w:p w:rsidR="00740FC9" w:rsidRPr="00740FC9" w:rsidRDefault="00740FC9" w:rsidP="00740F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0FC9">
        <w:rPr>
          <w:rFonts w:ascii="Times New Roman" w:hAnsi="Times New Roman" w:cs="Times New Roman"/>
          <w:sz w:val="28"/>
          <w:szCs w:val="28"/>
        </w:rPr>
        <w:t xml:space="preserve">Пациентам с тяжелым микрокристаллическим артритом с наличием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тофусов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, приводящим к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и низкому качеству жизни, при невозможности достичь требующегося уровня МК при приеме любых </w:t>
      </w:r>
      <w:r w:rsidRPr="00740FC9">
        <w:rPr>
          <w:rFonts w:ascii="Times New Roman" w:hAnsi="Times New Roman" w:cs="Times New Roman"/>
          <w:sz w:val="28"/>
          <w:szCs w:val="28"/>
        </w:rPr>
        <w:lastRenderedPageBreak/>
        <w:t>доступных препаратов или их комбинаций в максима</w:t>
      </w:r>
      <w:r w:rsidR="003B2A7D">
        <w:rPr>
          <w:rFonts w:ascii="Times New Roman" w:hAnsi="Times New Roman" w:cs="Times New Roman"/>
          <w:sz w:val="28"/>
          <w:szCs w:val="28"/>
        </w:rPr>
        <w:t xml:space="preserve">льной дозе </w:t>
      </w:r>
      <w:proofErr w:type="gramStart"/>
      <w:r w:rsidR="003B2A7D">
        <w:rPr>
          <w:rFonts w:ascii="Times New Roman" w:hAnsi="Times New Roman" w:cs="Times New Roman"/>
          <w:sz w:val="28"/>
          <w:szCs w:val="28"/>
        </w:rPr>
        <w:t>показана</w:t>
      </w:r>
      <w:proofErr w:type="gramEnd"/>
      <w:r w:rsidR="003B2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A7D">
        <w:rPr>
          <w:rFonts w:ascii="Times New Roman" w:hAnsi="Times New Roman" w:cs="Times New Roman"/>
          <w:sz w:val="28"/>
          <w:szCs w:val="28"/>
        </w:rPr>
        <w:t>пеглотиказа</w:t>
      </w:r>
      <w:proofErr w:type="spellEnd"/>
      <w:r w:rsidR="003B2A7D">
        <w:rPr>
          <w:rFonts w:ascii="Times New Roman" w:hAnsi="Times New Roman" w:cs="Times New Roman"/>
          <w:sz w:val="28"/>
          <w:szCs w:val="28"/>
        </w:rPr>
        <w:t>.</w:t>
      </w:r>
    </w:p>
    <w:p w:rsidR="00740FC9" w:rsidRPr="00740FC9" w:rsidRDefault="00740FC9" w:rsidP="00740FC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C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A634E" w:rsidRPr="00740FC9" w:rsidRDefault="00740FC9" w:rsidP="00740FC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40FC9">
        <w:rPr>
          <w:rFonts w:ascii="Times New Roman" w:hAnsi="Times New Roman" w:cs="Times New Roman"/>
          <w:sz w:val="28"/>
          <w:szCs w:val="28"/>
        </w:rPr>
        <w:t xml:space="preserve">Таким образом, ведение пациента с подагрой или ГУ должно включать скрининг и коррекцию пуринового, липидного и углеводного обмена, а также мероприятия, направленные на предотвращение </w:t>
      </w:r>
      <w:proofErr w:type="spellStart"/>
      <w:proofErr w:type="gramStart"/>
      <w:r w:rsidRPr="00740FC9"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васкулярн</w:t>
      </w:r>
      <w:r w:rsidR="00D672EB">
        <w:rPr>
          <w:rFonts w:ascii="Times New Roman" w:hAnsi="Times New Roman" w:cs="Times New Roman"/>
          <w:sz w:val="28"/>
          <w:szCs w:val="28"/>
        </w:rPr>
        <w:t>ых</w:t>
      </w:r>
      <w:proofErr w:type="spellEnd"/>
      <w:proofErr w:type="gramEnd"/>
      <w:r w:rsidR="00D672EB">
        <w:rPr>
          <w:rFonts w:ascii="Times New Roman" w:hAnsi="Times New Roman" w:cs="Times New Roman"/>
          <w:sz w:val="28"/>
          <w:szCs w:val="28"/>
        </w:rPr>
        <w:t xml:space="preserve"> осложнений. Дальнейшее изуче</w:t>
      </w:r>
      <w:r w:rsidRPr="00740FC9">
        <w:rPr>
          <w:rFonts w:ascii="Times New Roman" w:hAnsi="Times New Roman" w:cs="Times New Roman"/>
          <w:sz w:val="28"/>
          <w:szCs w:val="28"/>
        </w:rPr>
        <w:t xml:space="preserve">ние теоретических аспектов МС при подагре, влияния коррекции углеводного обмена, </w:t>
      </w:r>
      <w:proofErr w:type="spellStart"/>
      <w:r w:rsidRPr="00740FC9">
        <w:rPr>
          <w:rFonts w:ascii="Times New Roman" w:hAnsi="Times New Roman" w:cs="Times New Roman"/>
          <w:sz w:val="28"/>
          <w:szCs w:val="28"/>
        </w:rPr>
        <w:t>гиперлипидемии</w:t>
      </w:r>
      <w:proofErr w:type="spellEnd"/>
      <w:r w:rsidRPr="00740FC9">
        <w:rPr>
          <w:rFonts w:ascii="Times New Roman" w:hAnsi="Times New Roman" w:cs="Times New Roman"/>
          <w:sz w:val="28"/>
          <w:szCs w:val="28"/>
        </w:rPr>
        <w:t xml:space="preserve"> на течение болезни, изучение метаболической безопасности препаратов различных классов для лечения собственно подагры и сопутствующей патологии – всё это необычайно важно в практическом плане и полностью отражает положения действующих </w:t>
      </w:r>
      <w:r w:rsidR="00D672EB">
        <w:rPr>
          <w:rFonts w:ascii="Times New Roman" w:hAnsi="Times New Roman" w:cs="Times New Roman"/>
          <w:sz w:val="28"/>
          <w:szCs w:val="28"/>
        </w:rPr>
        <w:t xml:space="preserve">российских и </w:t>
      </w:r>
      <w:r w:rsidRPr="00740FC9">
        <w:rPr>
          <w:rFonts w:ascii="Times New Roman" w:hAnsi="Times New Roman" w:cs="Times New Roman"/>
          <w:sz w:val="28"/>
          <w:szCs w:val="28"/>
        </w:rPr>
        <w:t>европейских рекомендаций.</w:t>
      </w:r>
    </w:p>
    <w:p w:rsidR="002A634E" w:rsidRDefault="002A634E" w:rsidP="002A634E">
      <w:pPr>
        <w:pStyle w:val="a6"/>
        <w:spacing w:line="360" w:lineRule="auto"/>
        <w:ind w:left="1440"/>
        <w:rPr>
          <w:rFonts w:ascii="Times New Roman" w:hAnsi="Times New Roman" w:cs="Times New Roman"/>
          <w:b/>
          <w:sz w:val="32"/>
          <w:szCs w:val="28"/>
        </w:rPr>
      </w:pPr>
    </w:p>
    <w:p w:rsidR="002A634E" w:rsidRDefault="002A634E" w:rsidP="002A634E">
      <w:pPr>
        <w:pStyle w:val="a6"/>
        <w:spacing w:line="360" w:lineRule="auto"/>
        <w:ind w:left="1440"/>
        <w:rPr>
          <w:rFonts w:ascii="Times New Roman" w:hAnsi="Times New Roman" w:cs="Times New Roman"/>
          <w:b/>
          <w:sz w:val="32"/>
          <w:szCs w:val="28"/>
        </w:rPr>
      </w:pPr>
    </w:p>
    <w:p w:rsidR="002A634E" w:rsidRDefault="002A634E" w:rsidP="002A634E">
      <w:pPr>
        <w:pStyle w:val="a6"/>
        <w:spacing w:line="360" w:lineRule="auto"/>
        <w:ind w:left="1440"/>
        <w:rPr>
          <w:rFonts w:ascii="Times New Roman" w:hAnsi="Times New Roman" w:cs="Times New Roman"/>
          <w:b/>
          <w:sz w:val="32"/>
          <w:szCs w:val="28"/>
        </w:rPr>
      </w:pPr>
    </w:p>
    <w:p w:rsidR="002A634E" w:rsidRDefault="002A634E" w:rsidP="002A634E">
      <w:pPr>
        <w:pStyle w:val="a6"/>
        <w:spacing w:line="360" w:lineRule="auto"/>
        <w:ind w:left="1440"/>
        <w:rPr>
          <w:rFonts w:ascii="Times New Roman" w:hAnsi="Times New Roman" w:cs="Times New Roman"/>
          <w:b/>
          <w:sz w:val="32"/>
          <w:szCs w:val="28"/>
        </w:rPr>
      </w:pPr>
    </w:p>
    <w:p w:rsidR="002A634E" w:rsidRDefault="002A634E" w:rsidP="002A634E">
      <w:pPr>
        <w:pStyle w:val="a6"/>
        <w:spacing w:line="360" w:lineRule="auto"/>
        <w:ind w:left="1440"/>
        <w:rPr>
          <w:rFonts w:ascii="Times New Roman" w:hAnsi="Times New Roman" w:cs="Times New Roman"/>
          <w:b/>
          <w:sz w:val="32"/>
          <w:szCs w:val="28"/>
        </w:rPr>
      </w:pPr>
    </w:p>
    <w:p w:rsidR="002A634E" w:rsidRDefault="002A634E" w:rsidP="002A634E">
      <w:pPr>
        <w:pStyle w:val="a6"/>
        <w:spacing w:line="360" w:lineRule="auto"/>
        <w:ind w:left="1440"/>
        <w:rPr>
          <w:rFonts w:ascii="Times New Roman" w:hAnsi="Times New Roman" w:cs="Times New Roman"/>
          <w:b/>
          <w:sz w:val="32"/>
          <w:szCs w:val="28"/>
        </w:rPr>
      </w:pPr>
    </w:p>
    <w:p w:rsidR="002A634E" w:rsidRDefault="002A634E" w:rsidP="002A634E">
      <w:pPr>
        <w:pStyle w:val="a6"/>
        <w:spacing w:line="360" w:lineRule="auto"/>
        <w:ind w:left="1440"/>
        <w:rPr>
          <w:rFonts w:ascii="Times New Roman" w:hAnsi="Times New Roman" w:cs="Times New Roman"/>
          <w:b/>
          <w:sz w:val="32"/>
          <w:szCs w:val="28"/>
        </w:rPr>
      </w:pPr>
    </w:p>
    <w:p w:rsidR="002A634E" w:rsidRDefault="002A634E" w:rsidP="002A634E">
      <w:pPr>
        <w:pStyle w:val="a6"/>
        <w:spacing w:line="360" w:lineRule="auto"/>
        <w:ind w:left="1440"/>
        <w:rPr>
          <w:rFonts w:ascii="Times New Roman" w:hAnsi="Times New Roman" w:cs="Times New Roman"/>
          <w:b/>
          <w:sz w:val="32"/>
          <w:szCs w:val="28"/>
        </w:rPr>
      </w:pPr>
    </w:p>
    <w:p w:rsidR="002A634E" w:rsidRDefault="002A634E" w:rsidP="002A634E">
      <w:pPr>
        <w:pStyle w:val="a6"/>
        <w:spacing w:line="360" w:lineRule="auto"/>
        <w:ind w:left="1440"/>
        <w:rPr>
          <w:rFonts w:ascii="Times New Roman" w:hAnsi="Times New Roman" w:cs="Times New Roman"/>
          <w:b/>
          <w:sz w:val="32"/>
          <w:szCs w:val="28"/>
        </w:rPr>
      </w:pPr>
    </w:p>
    <w:p w:rsidR="002A634E" w:rsidRDefault="002A634E" w:rsidP="002A634E">
      <w:pPr>
        <w:pStyle w:val="a6"/>
        <w:spacing w:line="360" w:lineRule="auto"/>
        <w:ind w:left="1440"/>
        <w:rPr>
          <w:rFonts w:ascii="Times New Roman" w:hAnsi="Times New Roman" w:cs="Times New Roman"/>
          <w:b/>
          <w:sz w:val="32"/>
          <w:szCs w:val="28"/>
        </w:rPr>
      </w:pPr>
    </w:p>
    <w:p w:rsidR="002A634E" w:rsidRDefault="002A634E" w:rsidP="002A634E">
      <w:pPr>
        <w:pStyle w:val="a6"/>
        <w:spacing w:line="360" w:lineRule="auto"/>
        <w:ind w:left="1440"/>
        <w:rPr>
          <w:rFonts w:ascii="Times New Roman" w:hAnsi="Times New Roman" w:cs="Times New Roman"/>
          <w:b/>
          <w:sz w:val="32"/>
          <w:szCs w:val="28"/>
        </w:rPr>
      </w:pPr>
    </w:p>
    <w:p w:rsidR="002A634E" w:rsidRDefault="002A634E" w:rsidP="002A634E">
      <w:pPr>
        <w:pStyle w:val="a6"/>
        <w:spacing w:line="360" w:lineRule="auto"/>
        <w:ind w:left="1440"/>
        <w:rPr>
          <w:rFonts w:ascii="Times New Roman" w:hAnsi="Times New Roman" w:cs="Times New Roman"/>
          <w:b/>
          <w:sz w:val="32"/>
          <w:szCs w:val="28"/>
        </w:rPr>
      </w:pPr>
    </w:p>
    <w:p w:rsidR="002A634E" w:rsidRDefault="002A634E" w:rsidP="002A634E">
      <w:pPr>
        <w:pStyle w:val="a6"/>
        <w:spacing w:line="360" w:lineRule="auto"/>
        <w:ind w:left="1440"/>
        <w:rPr>
          <w:rFonts w:ascii="Times New Roman" w:hAnsi="Times New Roman" w:cs="Times New Roman"/>
          <w:b/>
          <w:sz w:val="32"/>
          <w:szCs w:val="28"/>
        </w:rPr>
      </w:pPr>
    </w:p>
    <w:p w:rsidR="002A634E" w:rsidRDefault="002A634E" w:rsidP="002A634E">
      <w:pPr>
        <w:pStyle w:val="a6"/>
        <w:spacing w:line="360" w:lineRule="auto"/>
        <w:ind w:left="1440"/>
        <w:rPr>
          <w:rFonts w:ascii="Times New Roman" w:hAnsi="Times New Roman" w:cs="Times New Roman"/>
          <w:b/>
          <w:sz w:val="32"/>
          <w:szCs w:val="28"/>
        </w:rPr>
      </w:pPr>
    </w:p>
    <w:p w:rsidR="002A634E" w:rsidRDefault="002A634E" w:rsidP="002A634E">
      <w:pPr>
        <w:pStyle w:val="a6"/>
        <w:spacing w:line="360" w:lineRule="auto"/>
        <w:ind w:left="1440"/>
        <w:rPr>
          <w:rFonts w:ascii="Times New Roman" w:hAnsi="Times New Roman" w:cs="Times New Roman"/>
          <w:b/>
          <w:sz w:val="32"/>
          <w:szCs w:val="28"/>
        </w:rPr>
      </w:pPr>
    </w:p>
    <w:p w:rsidR="00BF2D9D" w:rsidRPr="00333764" w:rsidRDefault="00D672EB" w:rsidP="00D672EB">
      <w:pPr>
        <w:pStyle w:val="a6"/>
        <w:spacing w:line="360" w:lineRule="auto"/>
        <w:ind w:left="144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                 </w:t>
      </w:r>
      <w:r w:rsidR="00BF2D9D" w:rsidRPr="00333764">
        <w:rPr>
          <w:rFonts w:ascii="Times New Roman" w:hAnsi="Times New Roman" w:cs="Times New Roman"/>
          <w:b/>
          <w:sz w:val="32"/>
          <w:szCs w:val="28"/>
        </w:rPr>
        <w:t>Список литературы</w:t>
      </w:r>
    </w:p>
    <w:p w:rsidR="003B2A7D" w:rsidRPr="003B2A7D" w:rsidRDefault="003B2A7D" w:rsidP="00D672E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Насонова В.А., </w:t>
      </w:r>
      <w:proofErr w:type="spellStart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Барскова</w:t>
      </w:r>
      <w:proofErr w:type="spellEnd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В.Г. Ранние диагностика и лечение подагры – научно обоснованное требование улучшения трудового и жизненного прогноза больных. Науч</w:t>
      </w:r>
      <w:proofErr w:type="gramStart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spellStart"/>
      <w:proofErr w:type="gramEnd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</w:t>
      </w:r>
      <w:proofErr w:type="spellEnd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ревматология. 2004; </w:t>
      </w:r>
    </w:p>
    <w:p w:rsidR="003B2A7D" w:rsidRPr="003B2A7D" w:rsidRDefault="003B2A7D" w:rsidP="00D672E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Барскова</w:t>
      </w:r>
      <w:proofErr w:type="spellEnd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В.Г., Елисеев М.С., Денисов И.С., Елисеева М.Е., Беликов О.А., </w:t>
      </w:r>
      <w:proofErr w:type="spellStart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Фадиенко</w:t>
      </w:r>
      <w:proofErr w:type="spellEnd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Г.Р., </w:t>
      </w:r>
      <w:proofErr w:type="spellStart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Жарская</w:t>
      </w:r>
      <w:proofErr w:type="spellEnd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Ф.С., </w:t>
      </w:r>
      <w:proofErr w:type="spellStart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Полковникова</w:t>
      </w:r>
      <w:proofErr w:type="spellEnd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О.П., Калягин А.Н., </w:t>
      </w:r>
      <w:proofErr w:type="spellStart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Склянова</w:t>
      </w:r>
      <w:proofErr w:type="spellEnd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М.В., </w:t>
      </w:r>
      <w:proofErr w:type="spellStart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Швецова</w:t>
      </w:r>
      <w:proofErr w:type="spellEnd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Е.А., Князева Л.А., </w:t>
      </w:r>
      <w:proofErr w:type="spellStart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Марусенко</w:t>
      </w:r>
      <w:proofErr w:type="spellEnd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И.М., </w:t>
      </w:r>
      <w:proofErr w:type="spellStart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Мясоедова</w:t>
      </w:r>
      <w:proofErr w:type="spellEnd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С.Е., Кожевникова Е.А., Петрова М.Н., Раскина Т.А., Королева М.В., </w:t>
      </w:r>
      <w:proofErr w:type="spellStart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Тыренко</w:t>
      </w:r>
      <w:proofErr w:type="spellEnd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В.В. и др. Частота</w:t>
      </w:r>
      <w:proofErr w:type="gramEnd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метаболического синдрома и сопутствующих заболеваний у больных подагрой. Данные многоцентрового исследования. Науч</w:t>
      </w:r>
      <w:proofErr w:type="gramStart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spellStart"/>
      <w:proofErr w:type="gramEnd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</w:t>
      </w:r>
      <w:proofErr w:type="spellEnd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ревматология. 2012;  </w:t>
      </w:r>
    </w:p>
    <w:p w:rsidR="003B2A7D" w:rsidRPr="003B2A7D" w:rsidRDefault="003B2A7D" w:rsidP="00D672E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Клинические рекомендации «Ревматология», 2-е издание. «</w:t>
      </w:r>
      <w:proofErr w:type="spellStart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ГЭОТАР_Медиа</w:t>
      </w:r>
      <w:proofErr w:type="spellEnd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М., 2010</w:t>
      </w:r>
    </w:p>
    <w:p w:rsidR="003B2A7D" w:rsidRPr="003B2A7D" w:rsidRDefault="003B2A7D" w:rsidP="00D672E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«Ревматология», Национальное руководство, М., «</w:t>
      </w:r>
      <w:proofErr w:type="spellStart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ГЭОТАР_Медиа</w:t>
      </w:r>
      <w:proofErr w:type="spellEnd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М., 2018</w:t>
      </w:r>
    </w:p>
    <w:p w:rsidR="003B2A7D" w:rsidRPr="003B2A7D" w:rsidRDefault="003B2A7D" w:rsidP="00D672E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Барскова</w:t>
      </w:r>
      <w:proofErr w:type="spellEnd"/>
      <w:r w:rsidRPr="003B2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В.Г., Елисеев М.С., Владимиров С.А. Диагностика микрокристаллической патологии суставов методом поляризационной микроскопии (трактовка и методические рекомендации к исследованию). Современная ревматология. 2010; </w:t>
      </w:r>
    </w:p>
    <w:p w:rsidR="003B2A7D" w:rsidRPr="003B2A7D" w:rsidRDefault="003B2A7D" w:rsidP="00D672E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A7D">
        <w:rPr>
          <w:rFonts w:ascii="Times New Roman" w:hAnsi="Times New Roman" w:cs="Times New Roman"/>
          <w:sz w:val="28"/>
          <w:szCs w:val="28"/>
        </w:rPr>
        <w:t xml:space="preserve">Елисеев М.С. Классификационные критерии подагры (рекомендации ACR/EULAR). Науч.- </w:t>
      </w:r>
      <w:proofErr w:type="spellStart"/>
      <w:r w:rsidRPr="003B2A7D">
        <w:rPr>
          <w:rFonts w:ascii="Times New Roman" w:hAnsi="Times New Roman" w:cs="Times New Roman"/>
          <w:sz w:val="28"/>
          <w:szCs w:val="28"/>
        </w:rPr>
        <w:t>прак</w:t>
      </w:r>
      <w:proofErr w:type="spellEnd"/>
      <w:r w:rsidRPr="003B2A7D">
        <w:rPr>
          <w:rFonts w:ascii="Times New Roman" w:hAnsi="Times New Roman" w:cs="Times New Roman"/>
          <w:sz w:val="28"/>
          <w:szCs w:val="28"/>
        </w:rPr>
        <w:t>. ревматология. 2015;</w:t>
      </w:r>
    </w:p>
    <w:p w:rsidR="003B2A7D" w:rsidRPr="003B2A7D" w:rsidRDefault="003B2A7D" w:rsidP="00D672E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A7D">
        <w:rPr>
          <w:rFonts w:ascii="Times New Roman" w:hAnsi="Times New Roman" w:cs="Times New Roman"/>
          <w:sz w:val="28"/>
          <w:szCs w:val="28"/>
        </w:rPr>
        <w:t xml:space="preserve">Елисеев М.С., </w:t>
      </w:r>
      <w:proofErr w:type="spellStart"/>
      <w:r w:rsidRPr="003B2A7D">
        <w:rPr>
          <w:rFonts w:ascii="Times New Roman" w:hAnsi="Times New Roman" w:cs="Times New Roman"/>
          <w:sz w:val="28"/>
          <w:szCs w:val="28"/>
        </w:rPr>
        <w:t>Чикаленкова</w:t>
      </w:r>
      <w:proofErr w:type="spellEnd"/>
      <w:r w:rsidRPr="003B2A7D">
        <w:rPr>
          <w:rFonts w:ascii="Times New Roman" w:hAnsi="Times New Roman" w:cs="Times New Roman"/>
          <w:sz w:val="28"/>
          <w:szCs w:val="28"/>
        </w:rPr>
        <w:t xml:space="preserve"> Н.А., Денисов И.С., </w:t>
      </w:r>
      <w:proofErr w:type="spellStart"/>
      <w:r w:rsidRPr="003B2A7D">
        <w:rPr>
          <w:rFonts w:ascii="Times New Roman" w:hAnsi="Times New Roman" w:cs="Times New Roman"/>
          <w:sz w:val="28"/>
          <w:szCs w:val="28"/>
        </w:rPr>
        <w:t>Барскова</w:t>
      </w:r>
      <w:proofErr w:type="spellEnd"/>
      <w:r w:rsidRPr="003B2A7D">
        <w:rPr>
          <w:rFonts w:ascii="Times New Roman" w:hAnsi="Times New Roman" w:cs="Times New Roman"/>
          <w:sz w:val="28"/>
          <w:szCs w:val="28"/>
        </w:rPr>
        <w:t xml:space="preserve"> В.Г. Факторы риска подагры: половые различия.</w:t>
      </w:r>
      <w:r w:rsidR="00D672EB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="00D672EB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D672EB">
        <w:rPr>
          <w:rFonts w:ascii="Times New Roman" w:hAnsi="Times New Roman" w:cs="Times New Roman"/>
          <w:sz w:val="28"/>
          <w:szCs w:val="28"/>
        </w:rPr>
        <w:t>прак</w:t>
      </w:r>
      <w:proofErr w:type="spellEnd"/>
      <w:r w:rsidR="00D672EB">
        <w:rPr>
          <w:rFonts w:ascii="Times New Roman" w:hAnsi="Times New Roman" w:cs="Times New Roman"/>
          <w:sz w:val="28"/>
          <w:szCs w:val="28"/>
        </w:rPr>
        <w:t>. ревматология. 2011.</w:t>
      </w:r>
    </w:p>
    <w:p w:rsidR="003B2A7D" w:rsidRPr="003B2A7D" w:rsidRDefault="003B2A7D" w:rsidP="003B2A7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333764" w:rsidRPr="00333764" w:rsidRDefault="00333764" w:rsidP="003B2A7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33764" w:rsidRPr="0033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761"/>
    <w:multiLevelType w:val="multilevel"/>
    <w:tmpl w:val="4C00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86BBB"/>
    <w:multiLevelType w:val="multilevel"/>
    <w:tmpl w:val="5F5C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D2D8F"/>
    <w:multiLevelType w:val="hybridMultilevel"/>
    <w:tmpl w:val="F2D2F3FA"/>
    <w:lvl w:ilvl="0" w:tplc="E916A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7363EE"/>
    <w:multiLevelType w:val="multilevel"/>
    <w:tmpl w:val="C370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93494"/>
    <w:multiLevelType w:val="multilevel"/>
    <w:tmpl w:val="ABD6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5072D"/>
    <w:multiLevelType w:val="multilevel"/>
    <w:tmpl w:val="D930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77E57"/>
    <w:multiLevelType w:val="multilevel"/>
    <w:tmpl w:val="3A0A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1078E"/>
    <w:multiLevelType w:val="multilevel"/>
    <w:tmpl w:val="06B4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0C20C6"/>
    <w:multiLevelType w:val="multilevel"/>
    <w:tmpl w:val="FD84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913D32"/>
    <w:multiLevelType w:val="multilevel"/>
    <w:tmpl w:val="E108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E27DA"/>
    <w:multiLevelType w:val="multilevel"/>
    <w:tmpl w:val="3D68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3050A"/>
    <w:multiLevelType w:val="multilevel"/>
    <w:tmpl w:val="DC5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351E9A"/>
    <w:multiLevelType w:val="multilevel"/>
    <w:tmpl w:val="88C0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33238D"/>
    <w:multiLevelType w:val="multilevel"/>
    <w:tmpl w:val="218E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447BA"/>
    <w:multiLevelType w:val="multilevel"/>
    <w:tmpl w:val="D010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D33F52"/>
    <w:multiLevelType w:val="multilevel"/>
    <w:tmpl w:val="BC54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6320D"/>
    <w:multiLevelType w:val="multilevel"/>
    <w:tmpl w:val="C4B2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624BE"/>
    <w:multiLevelType w:val="multilevel"/>
    <w:tmpl w:val="B1AA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06259"/>
    <w:multiLevelType w:val="multilevel"/>
    <w:tmpl w:val="898A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B61729"/>
    <w:multiLevelType w:val="multilevel"/>
    <w:tmpl w:val="6A16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803E58"/>
    <w:multiLevelType w:val="multilevel"/>
    <w:tmpl w:val="106C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7D6D97"/>
    <w:multiLevelType w:val="hybridMultilevel"/>
    <w:tmpl w:val="AD5ADFCC"/>
    <w:lvl w:ilvl="0" w:tplc="1EB8D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3E01E0"/>
    <w:multiLevelType w:val="multilevel"/>
    <w:tmpl w:val="2486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6C5F15"/>
    <w:multiLevelType w:val="multilevel"/>
    <w:tmpl w:val="C18E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A52D2E"/>
    <w:multiLevelType w:val="hybridMultilevel"/>
    <w:tmpl w:val="3216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17"/>
    <w:lvlOverride w:ilvl="0">
      <w:startOverride w:val="2"/>
    </w:lvlOverride>
  </w:num>
  <w:num w:numId="5">
    <w:abstractNumId w:val="17"/>
    <w:lvlOverride w:ilvl="0">
      <w:startOverride w:val="3"/>
    </w:lvlOverride>
  </w:num>
  <w:num w:numId="6">
    <w:abstractNumId w:val="17"/>
    <w:lvlOverride w:ilvl="0">
      <w:startOverride w:val="4"/>
    </w:lvlOverride>
  </w:num>
  <w:num w:numId="7">
    <w:abstractNumId w:val="22"/>
  </w:num>
  <w:num w:numId="8">
    <w:abstractNumId w:val="9"/>
  </w:num>
  <w:num w:numId="9">
    <w:abstractNumId w:val="4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5"/>
  </w:num>
  <w:num w:numId="18">
    <w:abstractNumId w:val="8"/>
  </w:num>
  <w:num w:numId="19">
    <w:abstractNumId w:val="6"/>
    <w:lvlOverride w:ilvl="0">
      <w:startOverride w:val="3"/>
    </w:lvlOverride>
  </w:num>
  <w:num w:numId="20">
    <w:abstractNumId w:val="21"/>
  </w:num>
  <w:num w:numId="21">
    <w:abstractNumId w:val="2"/>
  </w:num>
  <w:num w:numId="22">
    <w:abstractNumId w:val="24"/>
  </w:num>
  <w:num w:numId="23">
    <w:abstractNumId w:val="23"/>
  </w:num>
  <w:num w:numId="24">
    <w:abstractNumId w:val="10"/>
  </w:num>
  <w:num w:numId="25">
    <w:abstractNumId w:val="18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5F"/>
    <w:rsid w:val="000B0B5F"/>
    <w:rsid w:val="002A634E"/>
    <w:rsid w:val="00333764"/>
    <w:rsid w:val="003B2A7D"/>
    <w:rsid w:val="003D1582"/>
    <w:rsid w:val="00740FC9"/>
    <w:rsid w:val="007A7E21"/>
    <w:rsid w:val="00BF2D9D"/>
    <w:rsid w:val="00D672EB"/>
    <w:rsid w:val="00F00A22"/>
    <w:rsid w:val="00FC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1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58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D15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D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D1582"/>
    <w:rPr>
      <w:i/>
      <w:iCs/>
    </w:rPr>
  </w:style>
  <w:style w:type="paragraph" w:styleId="a6">
    <w:name w:val="List Paragraph"/>
    <w:basedOn w:val="a"/>
    <w:uiPriority w:val="34"/>
    <w:qFormat/>
    <w:rsid w:val="003D1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1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58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D15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D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D1582"/>
    <w:rPr>
      <w:i/>
      <w:iCs/>
    </w:rPr>
  </w:style>
  <w:style w:type="paragraph" w:styleId="a6">
    <w:name w:val="List Paragraph"/>
    <w:basedOn w:val="a"/>
    <w:uiPriority w:val="34"/>
    <w:qFormat/>
    <w:rsid w:val="003D1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226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13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</dc:creator>
  <cp:keywords/>
  <dc:description/>
  <cp:lastModifiedBy>269</cp:lastModifiedBy>
  <cp:revision>4</cp:revision>
  <dcterms:created xsi:type="dcterms:W3CDTF">2022-06-03T09:07:00Z</dcterms:created>
  <dcterms:modified xsi:type="dcterms:W3CDTF">2022-06-04T11:12:00Z</dcterms:modified>
</cp:coreProperties>
</file>