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Pr="00E41414" w:rsidRDefault="00937279" w:rsidP="00937279">
      <w:pPr>
        <w:shd w:val="clear" w:color="auto" w:fill="FFFFFF"/>
        <w:jc w:val="center"/>
      </w:pPr>
      <w:r w:rsidRPr="00E41414">
        <w:rPr>
          <w:b/>
          <w:bCs/>
          <w:color w:val="000000"/>
          <w:spacing w:val="-7"/>
        </w:rPr>
        <w:t>МЕТОДИКА ИССЛЕДОВАНИЯ ЛИМФАТИЧЕСКИХ УЗЛОВ</w:t>
      </w:r>
    </w:p>
    <w:p w:rsidR="00937279" w:rsidRPr="00E41414" w:rsidRDefault="00937279" w:rsidP="00937279">
      <w:pPr>
        <w:shd w:val="clear" w:color="auto" w:fill="FFFFFF"/>
        <w:ind w:firstLine="302"/>
        <w:jc w:val="both"/>
      </w:pPr>
      <w:r w:rsidRPr="00E41414">
        <w:rPr>
          <w:color w:val="000000"/>
          <w:spacing w:val="-5"/>
        </w:rPr>
        <w:t>При пальпации лимфатических узлов обращают внимание на следующие</w:t>
      </w:r>
      <w:r>
        <w:rPr>
          <w:color w:val="000000"/>
          <w:spacing w:val="-5"/>
        </w:rPr>
        <w:t xml:space="preserve"> </w:t>
      </w:r>
      <w:r w:rsidRPr="00E41414">
        <w:rPr>
          <w:color w:val="000000"/>
          <w:spacing w:val="-5"/>
        </w:rPr>
        <w:t>параметры.</w:t>
      </w:r>
    </w:p>
    <w:p w:rsidR="00937279" w:rsidRDefault="00937279" w:rsidP="00937279">
      <w:pPr>
        <w:shd w:val="clear" w:color="auto" w:fill="FFFFFF"/>
        <w:ind w:hanging="178"/>
        <w:jc w:val="both"/>
        <w:rPr>
          <w:color w:val="000000"/>
          <w:spacing w:val="-5"/>
        </w:rPr>
      </w:pPr>
      <w:r w:rsidRPr="00E41414">
        <w:rPr>
          <w:color w:val="000000"/>
          <w:spacing w:val="-6"/>
        </w:rPr>
        <w:t xml:space="preserve">• </w:t>
      </w:r>
      <w:r w:rsidRPr="00937279">
        <w:rPr>
          <w:b/>
          <w:color w:val="000000"/>
          <w:spacing w:val="-6"/>
        </w:rPr>
        <w:t>Величина</w:t>
      </w:r>
      <w:r w:rsidRPr="00E41414">
        <w:rPr>
          <w:color w:val="000000"/>
          <w:spacing w:val="-6"/>
        </w:rPr>
        <w:t xml:space="preserve"> (в норме диаметр лимфатических узлов не превышает 0,5 см, т.е.</w:t>
      </w:r>
      <w:r w:rsidRPr="00E41414">
        <w:rPr>
          <w:color w:val="000000"/>
          <w:spacing w:val="-6"/>
        </w:rPr>
        <w:br/>
      </w:r>
      <w:r w:rsidRPr="00E41414">
        <w:rPr>
          <w:color w:val="000000"/>
          <w:spacing w:val="-5"/>
        </w:rPr>
        <w:t xml:space="preserve">не больше размера горошины). </w:t>
      </w:r>
    </w:p>
    <w:p w:rsidR="00937279" w:rsidRPr="00E41414" w:rsidRDefault="00937279" w:rsidP="00937279">
      <w:pPr>
        <w:shd w:val="clear" w:color="auto" w:fill="FFFFFF"/>
        <w:ind w:hanging="178"/>
        <w:jc w:val="both"/>
      </w:pPr>
      <w:r>
        <w:rPr>
          <w:color w:val="000000"/>
          <w:spacing w:val="-5"/>
        </w:rPr>
        <w:t>У</w:t>
      </w:r>
      <w:r w:rsidRPr="00E41414">
        <w:rPr>
          <w:color w:val="000000"/>
          <w:spacing w:val="-3"/>
        </w:rPr>
        <w:t xml:space="preserve">величение лимфатических узлов может быть </w:t>
      </w:r>
      <w:r w:rsidRPr="00937279">
        <w:rPr>
          <w:b/>
          <w:color w:val="000000"/>
          <w:spacing w:val="-3"/>
        </w:rPr>
        <w:t>симметричным,</w:t>
      </w:r>
      <w:r w:rsidRPr="00E41414">
        <w:rPr>
          <w:color w:val="000000"/>
          <w:spacing w:val="-3"/>
        </w:rPr>
        <w:br/>
      </w:r>
      <w:r w:rsidRPr="00E41414">
        <w:rPr>
          <w:color w:val="000000"/>
          <w:spacing w:val="-1"/>
        </w:rPr>
        <w:t>распространённым или изолированным и достигать такой степени, что они</w:t>
      </w:r>
      <w:r w:rsidRPr="00E41414">
        <w:rPr>
          <w:color w:val="000000"/>
          <w:spacing w:val="-1"/>
        </w:rPr>
        <w:br/>
      </w:r>
      <w:r w:rsidRPr="00E41414">
        <w:rPr>
          <w:color w:val="000000"/>
          <w:spacing w:val="1"/>
        </w:rPr>
        <w:t>становятся видимыми при осмотре.</w:t>
      </w:r>
    </w:p>
    <w:p w:rsidR="00937279" w:rsidRPr="00E41414" w:rsidRDefault="00937279" w:rsidP="00937279">
      <w:pPr>
        <w:numPr>
          <w:ilvl w:val="0"/>
          <w:numId w:val="1"/>
        </w:numPr>
        <w:shd w:val="clear" w:color="auto" w:fill="FFFFFF"/>
        <w:tabs>
          <w:tab w:val="left" w:pos="307"/>
        </w:tabs>
        <w:ind w:hanging="168"/>
        <w:jc w:val="both"/>
        <w:rPr>
          <w:color w:val="000000"/>
        </w:rPr>
      </w:pPr>
      <w:r w:rsidRPr="00937279">
        <w:rPr>
          <w:b/>
          <w:color w:val="000000"/>
          <w:spacing w:val="-3"/>
        </w:rPr>
        <w:t>Количество</w:t>
      </w:r>
      <w:r w:rsidRPr="00E41414">
        <w:rPr>
          <w:color w:val="000000"/>
          <w:spacing w:val="-3"/>
        </w:rPr>
        <w:t xml:space="preserve"> (не более трёх пальпируемых узлов в группе — единичные </w:t>
      </w:r>
      <w:proofErr w:type="spellStart"/>
      <w:r w:rsidRPr="00E41414">
        <w:rPr>
          <w:color w:val="000000"/>
          <w:spacing w:val="-3"/>
        </w:rPr>
        <w:t>ли</w:t>
      </w:r>
      <w:proofErr w:type="gramStart"/>
      <w:r w:rsidRPr="00E41414">
        <w:rPr>
          <w:color w:val="000000"/>
          <w:spacing w:val="-3"/>
        </w:rPr>
        <w:t>м</w:t>
      </w:r>
      <w:proofErr w:type="spellEnd"/>
      <w:r w:rsidRPr="00E41414">
        <w:rPr>
          <w:color w:val="000000"/>
          <w:spacing w:val="-3"/>
        </w:rPr>
        <w:t>-</w:t>
      </w:r>
      <w:proofErr w:type="gramEnd"/>
      <w:r w:rsidRPr="00E41414">
        <w:rPr>
          <w:color w:val="000000"/>
          <w:spacing w:val="-3"/>
        </w:rPr>
        <w:br/>
      </w:r>
      <w:proofErr w:type="spellStart"/>
      <w:r w:rsidRPr="00E41414">
        <w:rPr>
          <w:color w:val="000000"/>
        </w:rPr>
        <w:t>фатические</w:t>
      </w:r>
      <w:proofErr w:type="spellEnd"/>
      <w:r w:rsidRPr="00E41414">
        <w:rPr>
          <w:color w:val="000000"/>
        </w:rPr>
        <w:t xml:space="preserve"> узлы, более трёх — множественные).</w:t>
      </w:r>
    </w:p>
    <w:p w:rsidR="00937279" w:rsidRPr="00E41414" w:rsidRDefault="00937279" w:rsidP="00937279">
      <w:pPr>
        <w:numPr>
          <w:ilvl w:val="0"/>
          <w:numId w:val="1"/>
        </w:numPr>
        <w:shd w:val="clear" w:color="auto" w:fill="FFFFFF"/>
        <w:tabs>
          <w:tab w:val="left" w:pos="307"/>
        </w:tabs>
        <w:ind w:hanging="168"/>
        <w:jc w:val="both"/>
        <w:rPr>
          <w:color w:val="000000"/>
        </w:rPr>
      </w:pPr>
      <w:r w:rsidRPr="00937279">
        <w:rPr>
          <w:b/>
          <w:color w:val="000000"/>
          <w:spacing w:val="1"/>
        </w:rPr>
        <w:t>Консистенци</w:t>
      </w:r>
      <w:r w:rsidRPr="00E41414">
        <w:rPr>
          <w:color w:val="000000"/>
          <w:spacing w:val="1"/>
        </w:rPr>
        <w:t>я (мягкие, эластичные, плотные), в значительной степени з</w:t>
      </w:r>
      <w:proofErr w:type="gramStart"/>
      <w:r w:rsidRPr="00E41414">
        <w:rPr>
          <w:color w:val="000000"/>
          <w:spacing w:val="1"/>
        </w:rPr>
        <w:t>а-</w:t>
      </w:r>
      <w:proofErr w:type="gramEnd"/>
      <w:r w:rsidRPr="00E41414">
        <w:rPr>
          <w:color w:val="000000"/>
          <w:spacing w:val="1"/>
        </w:rPr>
        <w:br/>
        <w:t>висящая от давности патологии; при хроническом течении процесса узлы</w:t>
      </w:r>
      <w:r w:rsidRPr="00E41414">
        <w:rPr>
          <w:color w:val="000000"/>
          <w:spacing w:val="1"/>
        </w:rPr>
        <w:br/>
      </w:r>
      <w:r w:rsidRPr="00E41414">
        <w:rPr>
          <w:color w:val="000000"/>
        </w:rPr>
        <w:t>бывают плотными, в острой фазе — мягкими.</w:t>
      </w:r>
    </w:p>
    <w:p w:rsidR="00937279" w:rsidRPr="00E41414" w:rsidRDefault="00937279" w:rsidP="00937279">
      <w:pPr>
        <w:numPr>
          <w:ilvl w:val="0"/>
          <w:numId w:val="1"/>
        </w:numPr>
        <w:shd w:val="clear" w:color="auto" w:fill="FFFFFF"/>
        <w:tabs>
          <w:tab w:val="left" w:pos="307"/>
        </w:tabs>
        <w:jc w:val="both"/>
        <w:rPr>
          <w:color w:val="000000"/>
        </w:rPr>
      </w:pPr>
      <w:r w:rsidRPr="00937279">
        <w:rPr>
          <w:b/>
          <w:color w:val="000000"/>
          <w:spacing w:val="1"/>
        </w:rPr>
        <w:t>Подвижность</w:t>
      </w:r>
      <w:r w:rsidRPr="00E41414">
        <w:rPr>
          <w:color w:val="000000"/>
          <w:spacing w:val="1"/>
        </w:rPr>
        <w:t xml:space="preserve"> (в норме узлы подвижны).</w:t>
      </w:r>
    </w:p>
    <w:p w:rsidR="00937279" w:rsidRPr="00E41414" w:rsidRDefault="00937279" w:rsidP="00937279">
      <w:pPr>
        <w:numPr>
          <w:ilvl w:val="0"/>
          <w:numId w:val="1"/>
        </w:numPr>
        <w:shd w:val="clear" w:color="auto" w:fill="FFFFFF"/>
        <w:tabs>
          <w:tab w:val="left" w:pos="307"/>
        </w:tabs>
        <w:ind w:hanging="168"/>
        <w:jc w:val="both"/>
        <w:rPr>
          <w:color w:val="000000"/>
        </w:rPr>
      </w:pPr>
      <w:r w:rsidRPr="00937279">
        <w:rPr>
          <w:b/>
          <w:color w:val="000000"/>
          <w:spacing w:val="-1"/>
        </w:rPr>
        <w:t>Отношение к коже, подкожной жировой клетчатке и между собой</w:t>
      </w:r>
      <w:r w:rsidRPr="00E41414">
        <w:rPr>
          <w:color w:val="000000"/>
          <w:spacing w:val="-1"/>
        </w:rPr>
        <w:t xml:space="preserve"> (в норме</w:t>
      </w:r>
      <w:r w:rsidRPr="00E41414">
        <w:rPr>
          <w:color w:val="000000"/>
          <w:spacing w:val="-1"/>
        </w:rPr>
        <w:br/>
      </w:r>
      <w:r w:rsidRPr="00E41414">
        <w:rPr>
          <w:color w:val="000000"/>
          <w:spacing w:val="1"/>
        </w:rPr>
        <w:t xml:space="preserve">не </w:t>
      </w:r>
      <w:proofErr w:type="gramStart"/>
      <w:r w:rsidRPr="00E41414">
        <w:rPr>
          <w:color w:val="000000"/>
          <w:spacing w:val="1"/>
        </w:rPr>
        <w:t>спаяны</w:t>
      </w:r>
      <w:proofErr w:type="gramEnd"/>
      <w:r w:rsidRPr="00E41414">
        <w:rPr>
          <w:color w:val="000000"/>
          <w:spacing w:val="1"/>
        </w:rPr>
        <w:t>).</w:t>
      </w:r>
    </w:p>
    <w:p w:rsidR="00FF4AC9" w:rsidRDefault="00937279" w:rsidP="00937279">
      <w:pPr>
        <w:numPr>
          <w:ilvl w:val="0"/>
          <w:numId w:val="1"/>
        </w:numPr>
        <w:shd w:val="clear" w:color="auto" w:fill="FFFFFF"/>
        <w:tabs>
          <w:tab w:val="left" w:pos="307"/>
        </w:tabs>
        <w:ind w:left="19" w:hanging="168"/>
        <w:jc w:val="both"/>
      </w:pPr>
      <w:r w:rsidRPr="00937279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26F5E93F" wp14:editId="4301D593">
            <wp:simplePos x="0" y="0"/>
            <wp:positionH relativeFrom="column">
              <wp:posOffset>7620</wp:posOffset>
            </wp:positionH>
            <wp:positionV relativeFrom="paragraph">
              <wp:posOffset>2254250</wp:posOffset>
            </wp:positionV>
            <wp:extent cx="57150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28" y="21488"/>
                <wp:lineTo x="21528" y="0"/>
                <wp:lineTo x="0" y="0"/>
              </wp:wrapPolygon>
            </wp:wrapTight>
            <wp:docPr id="1" name="Рисунок 1" descr="File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279">
        <w:rPr>
          <w:b/>
          <w:color w:val="000000"/>
          <w:spacing w:val="-1"/>
        </w:rPr>
        <w:t>Чувствительность и болезненность при пальпации</w:t>
      </w:r>
      <w:r w:rsidRPr="00937279">
        <w:rPr>
          <w:color w:val="000000"/>
          <w:spacing w:val="-1"/>
        </w:rPr>
        <w:t xml:space="preserve"> (в норме не</w:t>
      </w:r>
      <w:r>
        <w:rPr>
          <w:color w:val="000000"/>
          <w:spacing w:val="-1"/>
        </w:rPr>
        <w:t xml:space="preserve"> </w:t>
      </w:r>
      <w:proofErr w:type="spellStart"/>
      <w:r w:rsidRPr="00937279">
        <w:rPr>
          <w:color w:val="000000"/>
          <w:spacing w:val="-1"/>
        </w:rPr>
        <w:t>чувствител</w:t>
      </w:r>
      <w:proofErr w:type="gramStart"/>
      <w:r w:rsidRPr="00937279">
        <w:rPr>
          <w:color w:val="000000"/>
          <w:spacing w:val="-1"/>
        </w:rPr>
        <w:t>ь</w:t>
      </w:r>
      <w:proofErr w:type="spellEnd"/>
      <w:r w:rsidRPr="00937279">
        <w:rPr>
          <w:color w:val="000000"/>
          <w:spacing w:val="-1"/>
        </w:rPr>
        <w:t>-</w:t>
      </w:r>
      <w:proofErr w:type="gramEnd"/>
      <w:r w:rsidRPr="00937279">
        <w:rPr>
          <w:color w:val="000000"/>
          <w:spacing w:val="-1"/>
        </w:rPr>
        <w:br/>
      </w:r>
      <w:proofErr w:type="spellStart"/>
      <w:r w:rsidRPr="00937279">
        <w:rPr>
          <w:color w:val="000000"/>
          <w:spacing w:val="2"/>
        </w:rPr>
        <w:t>ны</w:t>
      </w:r>
      <w:proofErr w:type="spellEnd"/>
      <w:r w:rsidRPr="00937279">
        <w:rPr>
          <w:color w:val="000000"/>
          <w:spacing w:val="2"/>
        </w:rPr>
        <w:t xml:space="preserve"> и безболезненны), указывающие на острый воспалительный процесс.</w:t>
      </w:r>
      <w:r w:rsidRPr="00937279">
        <w:rPr>
          <w:color w:val="000000"/>
          <w:spacing w:val="2"/>
        </w:rPr>
        <w:br/>
        <w:t xml:space="preserve">Пальпацию симметричных групп лимфатических узлов (за исключением </w:t>
      </w:r>
      <w:r w:rsidRPr="00937279">
        <w:rPr>
          <w:color w:val="000000"/>
          <w:spacing w:val="3"/>
        </w:rPr>
        <w:t xml:space="preserve">локтевых) производят одномоментно, обеими руками. </w:t>
      </w:r>
      <w:r w:rsidRPr="00937279">
        <w:rPr>
          <w:b/>
          <w:color w:val="000000"/>
          <w:spacing w:val="3"/>
        </w:rPr>
        <w:t>Обычно у здоровых</w:t>
      </w:r>
      <w:r w:rsidRPr="00937279">
        <w:rPr>
          <w:b/>
          <w:color w:val="000000"/>
          <w:spacing w:val="3"/>
        </w:rPr>
        <w:br/>
      </w:r>
      <w:r w:rsidRPr="00937279">
        <w:rPr>
          <w:b/>
          <w:color w:val="000000"/>
          <w:spacing w:val="-3"/>
        </w:rPr>
        <w:t xml:space="preserve">детей можно </w:t>
      </w:r>
      <w:proofErr w:type="spellStart"/>
      <w:r w:rsidRPr="00937279">
        <w:rPr>
          <w:b/>
          <w:color w:val="000000"/>
          <w:spacing w:val="-3"/>
        </w:rPr>
        <w:t>пропальпировать</w:t>
      </w:r>
      <w:proofErr w:type="spellEnd"/>
      <w:r w:rsidRPr="00937279">
        <w:rPr>
          <w:b/>
          <w:color w:val="000000"/>
          <w:spacing w:val="-3"/>
        </w:rPr>
        <w:t xml:space="preserve"> не более трёх групп лимфатических узлов (</w:t>
      </w:r>
      <w:proofErr w:type="gramStart"/>
      <w:r w:rsidRPr="00937279">
        <w:rPr>
          <w:b/>
          <w:color w:val="000000"/>
          <w:spacing w:val="-3"/>
        </w:rPr>
        <w:t>подчелюстные</w:t>
      </w:r>
      <w:proofErr w:type="gramEnd"/>
      <w:r w:rsidRPr="00937279">
        <w:rPr>
          <w:b/>
          <w:color w:val="000000"/>
          <w:spacing w:val="-2"/>
        </w:rPr>
        <w:t xml:space="preserve">, подмышечные, паховые). </w:t>
      </w:r>
      <w:r w:rsidRPr="00937279">
        <w:rPr>
          <w:color w:val="000000"/>
          <w:spacing w:val="-2"/>
        </w:rPr>
        <w:t xml:space="preserve">В норме не пальпируются подбородочные, </w:t>
      </w:r>
      <w:proofErr w:type="gramStart"/>
      <w:r w:rsidRPr="00937279">
        <w:rPr>
          <w:color w:val="000000"/>
          <w:spacing w:val="-2"/>
        </w:rPr>
        <w:t>над</w:t>
      </w:r>
      <w:proofErr w:type="gramEnd"/>
      <w:r w:rsidRPr="00937279">
        <w:rPr>
          <w:color w:val="000000"/>
          <w:spacing w:val="-2"/>
        </w:rPr>
        <w:t xml:space="preserve">- </w:t>
      </w:r>
      <w:r w:rsidRPr="00937279">
        <w:rPr>
          <w:color w:val="000000"/>
        </w:rPr>
        <w:t xml:space="preserve">и подключичные, торакальные, </w:t>
      </w:r>
      <w:proofErr w:type="spellStart"/>
      <w:r w:rsidRPr="00937279">
        <w:rPr>
          <w:color w:val="000000"/>
        </w:rPr>
        <w:t>кубитальные</w:t>
      </w:r>
      <w:proofErr w:type="spellEnd"/>
      <w:r w:rsidRPr="00937279">
        <w:rPr>
          <w:color w:val="000000"/>
        </w:rPr>
        <w:t xml:space="preserve"> и подколенные лимфатические </w:t>
      </w:r>
      <w:r w:rsidRPr="00937279">
        <w:rPr>
          <w:color w:val="000000"/>
          <w:spacing w:val="-1"/>
        </w:rPr>
        <w:t>узлы. Состояние лимфатических узлов соответствует норме,</w:t>
      </w:r>
      <w:r w:rsidRPr="00937279">
        <w:rPr>
          <w:color w:val="000000"/>
          <w:spacing w:val="-1"/>
        </w:rPr>
        <w:t xml:space="preserve"> </w:t>
      </w:r>
      <w:r w:rsidRPr="00937279">
        <w:rPr>
          <w:color w:val="000000"/>
          <w:spacing w:val="-1"/>
        </w:rPr>
        <w:t>если они разме</w:t>
      </w:r>
      <w:r w:rsidRPr="00937279">
        <w:rPr>
          <w:color w:val="000000"/>
          <w:spacing w:val="4"/>
        </w:rPr>
        <w:t>ром менее горошины, единичные, мягко-эластической консистенции, по</w:t>
      </w:r>
      <w:r w:rsidRPr="00937279">
        <w:rPr>
          <w:color w:val="000000"/>
          <w:spacing w:val="2"/>
        </w:rPr>
        <w:t>движные, не спаянные с кожей и между собой, безболезненные</w:t>
      </w:r>
      <w:proofErr w:type="gramStart"/>
      <w:r w:rsidRPr="00937279">
        <w:rPr>
          <w:color w:val="000000"/>
          <w:spacing w:val="2"/>
        </w:rPr>
        <w:t>.</w:t>
      </w:r>
      <w:proofErr w:type="gramEnd"/>
      <w:r w:rsidRPr="00937279">
        <w:rPr>
          <w:color w:val="000000"/>
          <w:spacing w:val="2"/>
        </w:rPr>
        <w:t xml:space="preserve"> </w:t>
      </w:r>
      <w:bookmarkStart w:id="0" w:name="_GoBack"/>
      <w:bookmarkEnd w:id="0"/>
    </w:p>
    <w:sectPr w:rsidR="00FF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54882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79"/>
    <w:rsid w:val="00937279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372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372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2016-05-12T13:03:00Z</dcterms:created>
  <dcterms:modified xsi:type="dcterms:W3CDTF">2016-05-12T13:06:00Z</dcterms:modified>
</cp:coreProperties>
</file>