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16" w:rsidRPr="005F3FC6" w:rsidRDefault="00F13898" w:rsidP="006627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5F3FC6">
        <w:rPr>
          <w:rFonts w:ascii="Times New Roman" w:hAnsi="Times New Roman" w:cs="Times New Roman"/>
          <w:sz w:val="24"/>
          <w:szCs w:val="28"/>
        </w:rPr>
        <w:t>Войно-Ясенецкого</w:t>
      </w:r>
      <w:proofErr w:type="spellEnd"/>
      <w:r w:rsidRPr="005F3FC6">
        <w:rPr>
          <w:rFonts w:ascii="Times New Roman" w:hAnsi="Times New Roman" w:cs="Times New Roman"/>
          <w:sz w:val="24"/>
          <w:szCs w:val="28"/>
        </w:rPr>
        <w:t>» Министерства здравоохранения Российской Федерации.</w:t>
      </w:r>
    </w:p>
    <w:p w:rsidR="00F13898" w:rsidRPr="005F3FC6" w:rsidRDefault="00F13898" w:rsidP="006627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898" w:rsidRPr="005F3FC6" w:rsidRDefault="00F13898" w:rsidP="006627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КАФЕДРА</w:t>
      </w:r>
    </w:p>
    <w:p w:rsidR="00F13898" w:rsidRPr="005F3FC6" w:rsidRDefault="00F13898" w:rsidP="006627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 xml:space="preserve">ЛОР-болезней с курсом </w:t>
      </w:r>
      <w:proofErr w:type="gramStart"/>
      <w:r w:rsidRPr="005F3FC6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662724" w:rsidRPr="005F3FC6" w:rsidRDefault="00662724" w:rsidP="006627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898" w:rsidRPr="005F3FC6" w:rsidRDefault="00F13898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Рецензия &lt;</w:t>
      </w:r>
      <w:r w:rsidR="002B1F8C" w:rsidRPr="005F3F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C7A21">
        <w:rPr>
          <w:rFonts w:ascii="Times New Roman" w:hAnsi="Times New Roman" w:cs="Times New Roman"/>
          <w:sz w:val="24"/>
          <w:szCs w:val="28"/>
        </w:rPr>
        <w:t>к.м</w:t>
      </w:r>
      <w:proofErr w:type="gramStart"/>
      <w:r w:rsidR="000C7A21">
        <w:rPr>
          <w:rFonts w:ascii="Times New Roman" w:hAnsi="Times New Roman" w:cs="Times New Roman"/>
          <w:sz w:val="24"/>
          <w:szCs w:val="28"/>
        </w:rPr>
        <w:t>.н</w:t>
      </w:r>
      <w:proofErr w:type="spellEnd"/>
      <w:proofErr w:type="gramEnd"/>
      <w:r w:rsidR="000C7A21">
        <w:rPr>
          <w:rFonts w:ascii="Times New Roman" w:hAnsi="Times New Roman" w:cs="Times New Roman"/>
          <w:sz w:val="24"/>
          <w:szCs w:val="28"/>
        </w:rPr>
        <w:t>, доцента кафедры ЛОР-болезней с курсом ПО Петровой М.А.</w:t>
      </w:r>
      <w:r w:rsidRPr="005F3FC6">
        <w:rPr>
          <w:rFonts w:ascii="Times New Roman" w:hAnsi="Times New Roman" w:cs="Times New Roman"/>
          <w:sz w:val="24"/>
          <w:szCs w:val="28"/>
        </w:rPr>
        <w:t>&gt;  на реферат ординатора первого года обучения специальности Оториноларингология &lt;</w:t>
      </w:r>
      <w:proofErr w:type="spellStart"/>
      <w:r w:rsidR="00674499" w:rsidRPr="005F3FC6">
        <w:rPr>
          <w:rFonts w:ascii="Times New Roman" w:hAnsi="Times New Roman" w:cs="Times New Roman"/>
          <w:sz w:val="24"/>
          <w:szCs w:val="28"/>
        </w:rPr>
        <w:t>Нестеришиной</w:t>
      </w:r>
      <w:proofErr w:type="spellEnd"/>
      <w:r w:rsidR="00674499" w:rsidRPr="005F3FC6">
        <w:rPr>
          <w:rFonts w:ascii="Times New Roman" w:hAnsi="Times New Roman" w:cs="Times New Roman"/>
          <w:sz w:val="24"/>
          <w:szCs w:val="28"/>
        </w:rPr>
        <w:t xml:space="preserve"> Ольги Евгеньевны</w:t>
      </w:r>
      <w:r w:rsidRPr="005F3FC6">
        <w:rPr>
          <w:rFonts w:ascii="Times New Roman" w:hAnsi="Times New Roman" w:cs="Times New Roman"/>
          <w:sz w:val="24"/>
          <w:szCs w:val="28"/>
        </w:rPr>
        <w:t xml:space="preserve">&gt; по теме: </w:t>
      </w:r>
      <w:r w:rsidR="00B177CE" w:rsidRPr="005F3FC6">
        <w:rPr>
          <w:rFonts w:ascii="Times New Roman" w:hAnsi="Times New Roman" w:cs="Times New Roman"/>
          <w:sz w:val="24"/>
          <w:szCs w:val="28"/>
        </w:rPr>
        <w:t>&lt;</w:t>
      </w:r>
      <w:r w:rsidR="007F509D">
        <w:rPr>
          <w:rFonts w:ascii="Times New Roman" w:hAnsi="Times New Roman" w:cs="Times New Roman"/>
          <w:sz w:val="24"/>
          <w:szCs w:val="28"/>
        </w:rPr>
        <w:t xml:space="preserve">Болезнь </w:t>
      </w:r>
      <w:proofErr w:type="spellStart"/>
      <w:r w:rsidR="007F509D">
        <w:rPr>
          <w:rFonts w:ascii="Times New Roman" w:hAnsi="Times New Roman" w:cs="Times New Roman"/>
          <w:sz w:val="24"/>
          <w:szCs w:val="28"/>
        </w:rPr>
        <w:t>Меньера</w:t>
      </w:r>
      <w:proofErr w:type="spellEnd"/>
      <w:r w:rsidR="00B177CE" w:rsidRPr="005F3FC6">
        <w:rPr>
          <w:rFonts w:ascii="Times New Roman" w:hAnsi="Times New Roman" w:cs="Times New Roman"/>
          <w:sz w:val="24"/>
          <w:szCs w:val="28"/>
        </w:rPr>
        <w:t>&gt;.</w:t>
      </w:r>
    </w:p>
    <w:p w:rsidR="00B177CE" w:rsidRPr="005F3FC6" w:rsidRDefault="00B177CE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 xml:space="preserve">Рецензия на реферат – это критический отзыв о проведенной самостоятельной работе ординатора с литературой по выбранной специальности обучения, включающий анализ степени раскрытия выбранной тематики, перечисление возможных недочётов и рекомендации по оценке. Ознакомившись с рефератом, преподаватель убеждается в том, что ординатор владеет описанным материалом, умеет его анализировать и </w:t>
      </w:r>
      <w:proofErr w:type="gramStart"/>
      <w:r w:rsidRPr="005F3FC6">
        <w:rPr>
          <w:rFonts w:ascii="Times New Roman" w:hAnsi="Times New Roman" w:cs="Times New Roman"/>
          <w:sz w:val="24"/>
          <w:szCs w:val="28"/>
        </w:rPr>
        <w:t>способен</w:t>
      </w:r>
      <w:proofErr w:type="gramEnd"/>
      <w:r w:rsidRPr="005F3FC6">
        <w:rPr>
          <w:rFonts w:ascii="Times New Roman" w:hAnsi="Times New Roman" w:cs="Times New Roman"/>
          <w:sz w:val="24"/>
          <w:szCs w:val="28"/>
        </w:rPr>
        <w:t xml:space="preserve"> аргументировано защищать свою точку зрения. Написание реферата производится в произвольной форме, однако автор должен придерживаться определённых негласных требований по содержанию. Для большего удобства, экономии времени и повышения наглядности качества работ, нами были введены стандартизированные критерии оценки рефератов.</w:t>
      </w:r>
    </w:p>
    <w:p w:rsidR="00B177CE" w:rsidRPr="005F3FC6" w:rsidRDefault="00B177CE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Основные оценочные критерии рецензии на реферат ординатора первого года обучения специальности Оториноларингология: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1979"/>
      </w:tblGrid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Оценочный критерий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Положительный/отрицательный</w:t>
            </w: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Структурированность;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Наличие орфографических ошибок;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Соответствие текста реферата по его теме;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Владение терминологией;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Полнота и глубина раскрытия основных понятий темы;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Логичность доказательной базы;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Умение аргументировать основные положения и выводы;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Круг использования известных научных источников;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3FC6" w:rsidRPr="005F3FC6" w:rsidTr="00662724">
        <w:tc>
          <w:tcPr>
            <w:tcW w:w="7366" w:type="dxa"/>
          </w:tcPr>
          <w:p w:rsidR="00B177CE" w:rsidRPr="005F3FC6" w:rsidRDefault="00B177CE" w:rsidP="0066272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FC6">
              <w:rPr>
                <w:rFonts w:ascii="Times New Roman" w:hAnsi="Times New Roman" w:cs="Times New Roman"/>
                <w:sz w:val="24"/>
                <w:szCs w:val="28"/>
              </w:rPr>
              <w:t>Умение сделать общий вывод.</w:t>
            </w:r>
          </w:p>
        </w:tc>
        <w:tc>
          <w:tcPr>
            <w:tcW w:w="1979" w:type="dxa"/>
          </w:tcPr>
          <w:p w:rsidR="00B177CE" w:rsidRPr="005F3FC6" w:rsidRDefault="00B177CE" w:rsidP="00662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177CE" w:rsidRPr="005F3FC6" w:rsidRDefault="00B177CE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Итоговая оценка: положительная/отрицательная</w:t>
      </w: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Комментарии рецензента:</w:t>
      </w: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 xml:space="preserve">Дата:          </w:t>
      </w: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Подпись рецензента:</w:t>
      </w:r>
    </w:p>
    <w:p w:rsidR="00662724" w:rsidRPr="005F3FC6" w:rsidRDefault="00662724" w:rsidP="00662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Подпись ординатора:</w:t>
      </w:r>
    </w:p>
    <w:p w:rsidR="00B96110" w:rsidRPr="005F3FC6" w:rsidRDefault="00B96110" w:rsidP="00E763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E763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5F3FC6">
        <w:rPr>
          <w:rFonts w:ascii="Times New Roman" w:hAnsi="Times New Roman" w:cs="Times New Roman"/>
          <w:sz w:val="24"/>
          <w:szCs w:val="28"/>
        </w:rPr>
        <w:t>Войно-Ясенецкого</w:t>
      </w:r>
      <w:proofErr w:type="spellEnd"/>
      <w:r w:rsidRPr="005F3FC6">
        <w:rPr>
          <w:rFonts w:ascii="Times New Roman" w:hAnsi="Times New Roman" w:cs="Times New Roman"/>
          <w:sz w:val="24"/>
          <w:szCs w:val="28"/>
        </w:rPr>
        <w:t>» Министерства здравоохранения Российской Федерации.</w:t>
      </w: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 xml:space="preserve">Кафедра ЛОР-болезней с курсом </w:t>
      </w:r>
      <w:proofErr w:type="gramStart"/>
      <w:r w:rsidRPr="005F3FC6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F3FC6">
        <w:rPr>
          <w:rFonts w:ascii="Times New Roman" w:hAnsi="Times New Roman" w:cs="Times New Roman"/>
          <w:sz w:val="36"/>
          <w:szCs w:val="28"/>
        </w:rPr>
        <w:t>РЕФЕРАТ</w:t>
      </w:r>
    </w:p>
    <w:p w:rsidR="00AA6498" w:rsidRPr="005F3FC6" w:rsidRDefault="007F509D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Болезнь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Меньера</w:t>
      </w:r>
      <w:proofErr w:type="spellEnd"/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5F3FC6">
        <w:rPr>
          <w:rFonts w:ascii="Times New Roman" w:hAnsi="Times New Roman" w:cs="Times New Roman"/>
          <w:sz w:val="24"/>
          <w:szCs w:val="28"/>
        </w:rPr>
        <w:t>Зав</w:t>
      </w:r>
      <w:proofErr w:type="gramStart"/>
      <w:r w:rsidRPr="005F3FC6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5F3FC6">
        <w:rPr>
          <w:rFonts w:ascii="Times New Roman" w:hAnsi="Times New Roman" w:cs="Times New Roman"/>
          <w:sz w:val="24"/>
          <w:szCs w:val="28"/>
        </w:rPr>
        <w:t>афедрой</w:t>
      </w:r>
      <w:proofErr w:type="spellEnd"/>
      <w:r w:rsidRPr="005F3FC6">
        <w:rPr>
          <w:rFonts w:ascii="Times New Roman" w:hAnsi="Times New Roman" w:cs="Times New Roman"/>
          <w:sz w:val="24"/>
          <w:szCs w:val="28"/>
        </w:rPr>
        <w:t>: д.м.н., проф. Вахрушев С.Г.</w:t>
      </w:r>
    </w:p>
    <w:p w:rsidR="00AA6498" w:rsidRPr="005F3FC6" w:rsidRDefault="00674499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 xml:space="preserve">Проверила: </w:t>
      </w:r>
      <w:proofErr w:type="spellStart"/>
      <w:r w:rsidR="00D956E5">
        <w:rPr>
          <w:rFonts w:ascii="Times New Roman" w:hAnsi="Times New Roman" w:cs="Times New Roman"/>
          <w:sz w:val="24"/>
          <w:szCs w:val="28"/>
        </w:rPr>
        <w:t>к.м</w:t>
      </w:r>
      <w:proofErr w:type="gramStart"/>
      <w:r w:rsidR="00D956E5">
        <w:rPr>
          <w:rFonts w:ascii="Times New Roman" w:hAnsi="Times New Roman" w:cs="Times New Roman"/>
          <w:sz w:val="24"/>
          <w:szCs w:val="28"/>
        </w:rPr>
        <w:t>.н</w:t>
      </w:r>
      <w:proofErr w:type="spellEnd"/>
      <w:proofErr w:type="gramEnd"/>
      <w:r w:rsidR="00D956E5">
        <w:rPr>
          <w:rFonts w:ascii="Times New Roman" w:hAnsi="Times New Roman" w:cs="Times New Roman"/>
          <w:sz w:val="24"/>
          <w:szCs w:val="28"/>
        </w:rPr>
        <w:t>, доцент Петрова М.А.</w:t>
      </w: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Выполнила: ординат</w:t>
      </w:r>
      <w:r w:rsidR="003541E9" w:rsidRPr="005F3FC6">
        <w:rPr>
          <w:rFonts w:ascii="Times New Roman" w:hAnsi="Times New Roman" w:cs="Times New Roman"/>
          <w:sz w:val="24"/>
          <w:szCs w:val="28"/>
        </w:rPr>
        <w:t xml:space="preserve">ор 1 года обучения </w:t>
      </w:r>
      <w:proofErr w:type="spellStart"/>
      <w:r w:rsidR="00674499" w:rsidRPr="005F3FC6">
        <w:rPr>
          <w:rFonts w:ascii="Times New Roman" w:hAnsi="Times New Roman" w:cs="Times New Roman"/>
          <w:sz w:val="24"/>
          <w:szCs w:val="28"/>
        </w:rPr>
        <w:t>Нестеришина</w:t>
      </w:r>
      <w:proofErr w:type="spellEnd"/>
      <w:r w:rsidR="00674499" w:rsidRPr="005F3FC6">
        <w:rPr>
          <w:rFonts w:ascii="Times New Roman" w:hAnsi="Times New Roman" w:cs="Times New Roman"/>
          <w:sz w:val="24"/>
          <w:szCs w:val="28"/>
        </w:rPr>
        <w:t xml:space="preserve"> О.Е.</w:t>
      </w: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B716EB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74499" w:rsidRPr="005F3FC6" w:rsidRDefault="00674499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74499" w:rsidRPr="005F3FC6" w:rsidRDefault="00674499" w:rsidP="00AA64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3541E9" w:rsidP="00D956E5">
      <w:pPr>
        <w:spacing w:after="0" w:line="276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 w:rsidRPr="005F3FC6">
        <w:rPr>
          <w:rFonts w:ascii="Times New Roman" w:hAnsi="Times New Roman" w:cs="Times New Roman"/>
          <w:sz w:val="24"/>
          <w:szCs w:val="28"/>
        </w:rPr>
        <w:t>Красноярск, 20</w:t>
      </w:r>
      <w:r w:rsidR="00D956E5">
        <w:rPr>
          <w:rFonts w:ascii="Times New Roman" w:hAnsi="Times New Roman" w:cs="Times New Roman"/>
          <w:sz w:val="24"/>
          <w:szCs w:val="28"/>
        </w:rPr>
        <w:t>21</w:t>
      </w: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5F3FC6">
        <w:rPr>
          <w:rFonts w:ascii="Times New Roman" w:hAnsi="Times New Roman" w:cs="Times New Roman"/>
          <w:sz w:val="32"/>
          <w:szCs w:val="32"/>
        </w:rPr>
        <w:lastRenderedPageBreak/>
        <w:t>Содержание: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3987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2B1F8C" w:rsidRPr="005F3FC6" w:rsidRDefault="002B1F8C">
          <w:pPr>
            <w:pStyle w:val="a5"/>
            <w:rPr>
              <w:rFonts w:ascii="Times New Roman" w:hAnsi="Times New Roman" w:cs="Times New Roman"/>
              <w:color w:val="auto"/>
              <w:sz w:val="32"/>
            </w:rPr>
          </w:pPr>
        </w:p>
        <w:p w:rsidR="002B1F8C" w:rsidRPr="005F3FC6" w:rsidRDefault="00D956E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Понятие </w:t>
          </w:r>
          <w:r w:rsidR="002B1F8C" w:rsidRPr="005F3FC6">
            <w:rPr>
              <w:rFonts w:ascii="Times New Roman" w:hAnsi="Times New Roman" w:cs="Times New Roman"/>
              <w:sz w:val="24"/>
            </w:rPr>
            <w:fldChar w:fldCharType="begin"/>
          </w:r>
          <w:r w:rsidR="002B1F8C" w:rsidRPr="005F3FC6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="002B1F8C" w:rsidRPr="005F3FC6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532470506" w:history="1"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7A21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</w:hyperlink>
        </w:p>
        <w:p w:rsidR="002B1F8C" w:rsidRPr="005F3FC6" w:rsidRDefault="006519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32470507" w:history="1">
            <w:r w:rsidR="00A518D2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</w:rPr>
              <w:t>Этиология и патогенез</w:t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</w:hyperlink>
          <w:r w:rsidR="000C7A21">
            <w:rPr>
              <w:rFonts w:ascii="Times New Roman" w:hAnsi="Times New Roman" w:cs="Times New Roman"/>
              <w:noProof/>
              <w:sz w:val="24"/>
            </w:rPr>
            <w:t>4</w:t>
          </w:r>
        </w:p>
        <w:p w:rsidR="002B1F8C" w:rsidRPr="005F3FC6" w:rsidRDefault="006519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32470508" w:history="1">
            <w:r w:rsidR="00A518D2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4"/>
              </w:rPr>
              <w:t>Эпидемиология</w:t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_Toc532470508 \h </w:instrText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031DF3">
            <w:rPr>
              <w:rFonts w:ascii="Times New Roman" w:hAnsi="Times New Roman" w:cs="Times New Roman"/>
              <w:noProof/>
              <w:sz w:val="24"/>
            </w:rPr>
            <w:t>4</w:t>
          </w:r>
        </w:p>
        <w:p w:rsidR="002B1F8C" w:rsidRPr="005F3FC6" w:rsidRDefault="006519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32470509" w:history="1">
            <w:r w:rsidR="00031DF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</w:rPr>
              <w:t>Клиническая картина</w:t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</w:hyperlink>
          <w:r w:rsidR="000C7A21">
            <w:rPr>
              <w:rFonts w:ascii="Times New Roman" w:hAnsi="Times New Roman" w:cs="Times New Roman"/>
              <w:noProof/>
              <w:sz w:val="24"/>
            </w:rPr>
            <w:t>5</w:t>
          </w:r>
        </w:p>
        <w:p w:rsidR="002B1F8C" w:rsidRPr="005F3FC6" w:rsidRDefault="006519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32470510" w:history="1">
            <w:r w:rsidR="00AE2D9C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</w:rPr>
              <w:t xml:space="preserve">Диагностика </w:t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</w:hyperlink>
          <w:r w:rsidR="00031DF3">
            <w:rPr>
              <w:rFonts w:ascii="Times New Roman" w:hAnsi="Times New Roman" w:cs="Times New Roman"/>
              <w:noProof/>
              <w:sz w:val="24"/>
            </w:rPr>
            <w:t>6</w:t>
          </w:r>
        </w:p>
        <w:p w:rsidR="002B1F8C" w:rsidRPr="005F3FC6" w:rsidRDefault="006519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32470511" w:history="1">
            <w:r w:rsidR="00AE2D9C">
              <w:rPr>
                <w:rFonts w:ascii="Times New Roman" w:hAnsi="Times New Roman" w:cs="Times New Roman"/>
                <w:noProof/>
              </w:rPr>
              <w:t>Лечение</w:t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</w:hyperlink>
          <w:r w:rsidR="00031DF3">
            <w:rPr>
              <w:rFonts w:ascii="Times New Roman" w:hAnsi="Times New Roman" w:cs="Times New Roman"/>
              <w:noProof/>
              <w:sz w:val="24"/>
            </w:rPr>
            <w:t>6</w:t>
          </w:r>
        </w:p>
        <w:p w:rsidR="002B1F8C" w:rsidRPr="005F3FC6" w:rsidRDefault="006519A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32470512" w:history="1">
            <w:r w:rsidR="002B1F8C" w:rsidRPr="005F3FC6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</w:rPr>
              <w:t>Список литературы</w:t>
            </w:r>
            <w:r w:rsidR="002B1F8C" w:rsidRPr="005F3FC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</w:hyperlink>
          <w:r w:rsidR="000C7A21">
            <w:rPr>
              <w:rFonts w:ascii="Times New Roman" w:hAnsi="Times New Roman" w:cs="Times New Roman"/>
              <w:noProof/>
              <w:sz w:val="24"/>
            </w:rPr>
            <w:t>9</w:t>
          </w:r>
        </w:p>
        <w:p w:rsidR="002B1F8C" w:rsidRPr="005F3FC6" w:rsidRDefault="002B1F8C">
          <w:pPr>
            <w:rPr>
              <w:rFonts w:ascii="Times New Roman" w:hAnsi="Times New Roman" w:cs="Times New Roman"/>
            </w:rPr>
          </w:pPr>
          <w:r w:rsidRPr="005F3FC6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A6498" w:rsidRPr="005F3FC6" w:rsidRDefault="00AA6498" w:rsidP="00AA6498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B6362A" w:rsidRPr="005F3FC6" w:rsidRDefault="00B6362A" w:rsidP="00B6362A"/>
    <w:p w:rsidR="00AE2D9C" w:rsidRDefault="00D956E5" w:rsidP="00B6362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518D2" w:rsidRPr="00AE2D9C">
        <w:rPr>
          <w:rFonts w:ascii="Times New Roman" w:hAnsi="Times New Roman" w:cs="Times New Roman"/>
          <w:sz w:val="24"/>
          <w:szCs w:val="24"/>
        </w:rPr>
        <w:tab/>
      </w:r>
    </w:p>
    <w:p w:rsidR="007F509D" w:rsidRPr="00031DF3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Что такое болезнь </w:t>
      </w:r>
      <w:proofErr w:type="spell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Болезнь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негнойное заболевание внутреннего уха, характеризующееся увеличением объема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эндолимфы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(лабиринтной жидкости) и повышением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внутрилабиринтного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давления, в результате чего возникают рецидивирующие приступы прогрессирующей глухоты (чаще односторонней), шума в ушах, системного головокружения, нарушения равновесия и вегетативных расстройств.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симптомокомплекс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характеризующийся тугоухостью, шумом в ушах и периодически возникающим головокружением, был подробно описан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Проспером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Меньером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Prosper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Meniere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1861 г. в докладе «Об особом виде тяжелой глухоты, зависящей от поражения внутреннего уха» на заседании французской Академии медицинских наук. Тогда же это состояние получило название «болезнь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На основании четырнадцатилетнего опыта обследования больных с подобным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симптомокомплексом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результатов аутопсий и данных экспериментов по перерезке полукружных каналов у голубей, опубликованных в 1824 г. физиологом Пьером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Флурансом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Jean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Pierre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Marie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Flourens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П.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высказал предположение, что это заболеван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связано с внутренним ухом</w:t>
      </w:r>
      <w:proofErr w:type="gram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Позднее, в 1938 г.,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Hallpike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Cairns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доказали, что в основе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 эндолимфатический </w:t>
      </w:r>
      <w:proofErr w:type="spell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гидропс</w:t>
      </w:r>
      <w:proofErr w:type="spellEnd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509D" w:rsidRPr="00031DF3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Эпидемиология заболевания.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Болезнью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страдают преимущественно представители европеоидной расы независимо от пола. Средний возраст больных колеблется от 20 до 50 лет, но болезнь может встречаться и у детей. Несколько чаще заболевание встречается у лиц интеллектуального труда и у жителей крупных городов.</w:t>
      </w:r>
    </w:p>
    <w:p w:rsidR="007F509D" w:rsidRPr="00031DF3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Этиология.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Несмотря на неугасающий многие годы интерес ученых-медиков к данной проблеме, этиология заболевания до конца не выяснена. Существуют несколько теорий развития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Так, по анатомической теории, болезнь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связана с патологией строения височной кости, в частности, с пониженной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пневматизацией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клеток сосцевидного отростка и гипоплазией вестибулярного канала, при этом малых размеров эндолимфатический мешок неправильно расположен позади лабиринта.</w:t>
      </w:r>
      <w:proofErr w:type="gramEnd"/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генетической теории, наследственная передача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выявлена более полувека назад, причем результаты последних исследований (М.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Verstreken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Бельгия) свидетельствуют об аутосомно-доминантном типе наследования. Полагают, что особую роль играет участок DFNA9 гена СОСН.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Иммунологическая теория подтверждается обнаружением иммунных комплексов в эндолимфатическом мешке у пациентов с болезнью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пользу сосудистой теории свидетельствует частое сочетание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мигренью, что было замечено еще самим П.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Меньером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аллергической теории, частота аллергических реакций у больных болезнью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выше, чем среди населения в целом. Так, из 734 больных болезнью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обследованных M. J. </w:t>
      </w:r>
      <w:proofErr w:type="spellStart"/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Derebery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(США), 59% заявили, что они страдают установленной или предполагаемой аллергией на агенты, переносимые по воздуху, а 40% — установленной или предполагаемой аллергией к пищевым продуктам (тогда как частота аллергических реакций среди всего населения США составляет примерно 20%).</w:t>
      </w:r>
      <w:proofErr w:type="gramEnd"/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метаболической теории при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эндолимфатическом пространстве происходит задержка калия. Это вызывает калиевую интоксикацию волосковых клеток и вестибулярного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нейроэпителия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результате чего развиваются туго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ухость и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головокружение. Многие авторы склоняются к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полиэтиологичности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данного заболевания и выделяют «факторы вызывающие» и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«факторы предрасполагающие»</w:t>
      </w:r>
      <w:proofErr w:type="gram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F509D" w:rsidRPr="00031DF3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Клиническая картина.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Клиническая картина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подавляющем большинстве случаев (80–90%) характеризуется односторонним поражением с возможным «вовлечением в патологический процесс» и второго лабиринта. В этом случае следует говорить о «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двустороннем заболевании»</w:t>
      </w:r>
      <w:proofErr w:type="gram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Дебютировать болезнь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как с вестибулярных, так и со слуховых (снижение слуха, заложенность уха, ушной шум) симптомов.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первые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2–3 года заболевания туго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ухость может быть флюктуирующей (преходящей) с практически полным восстановлением слуха в межприступном периоде. С годами слух постепенно снижается, вплоть до полной глухоты.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Головокружение при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тягостное — системное, сопровождающееся спонтанным нистагмом, атаксией,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координаторными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расстройствами, выраженными вегетативными проявлениями (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гиперсаливация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гипергидроз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флюктуации артериального давления,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диспептические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расстройства). Продолжительность приступа продолжается от нескольких минут до дней (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status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meniericus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Выраженность головокружения также может быть различной: от легких «предвестников» до бурной реакции, во время которой больные принимают вынужденное положение на боку, соответствующему больному уху (или направлению быстрого компонента спонтанного нистагма). Атаксия 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координаторные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нарушения могут сохраняться в течение нескольких дней после приступа. В первые годы заболевания (до 3 лет) между приступами при проведении вестибулометрии, как правило, регистрируется экспериментальная вестибулярная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норморефлексия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Позднее, в период ремиссии, регистрируется 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вестибулярная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гипорефлексия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пораженной, а затем и на противоположной стороне. Обычно через 10 и более лет выраженность вестибулярных проявлений уменьшается.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классическом течении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выделяют три стадии заболевания: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— преобладающим симптомом является головокружение, нередко сопровождающееся тошнотой и рвотой. Могут наблюдаться бледность и потливость. Обычно приступу головокружения предшествует чувство давления в ухе или соответствующей половине головы, длящееся от 20 мин до нескольких часов. Между приступами слух нормальный.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II — развивается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сенсоневральная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тугоухость с преимущественным понижением звуковосприятия на низких частотах. Приступы головокружения достигают максимальной выраженности с последующей тенденцией к уменьшению тяжести проявлений.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III — отмечается прогрессивное понижение слуха с развитием двусторонней глухоты. Эпизоды головокружения уменьшаются и затем полностью исчезают; тем не 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сохраняться атаксия, особенно в темноте.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Американская академия отоларингологии и хирургии головы и шеи (AAO-HNS) (1995 год) определяет «очевидную» болезнь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следующим образом:</w:t>
      </w:r>
    </w:p>
    <w:p w:rsidR="007F509D" w:rsidRPr="007F509D" w:rsidRDefault="007F509D" w:rsidP="007F50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два или более возникающих самопроизвольно приступа головокружения продолжительностью 20 мин и более;</w:t>
      </w:r>
    </w:p>
    <w:p w:rsidR="007F509D" w:rsidRPr="007F509D" w:rsidRDefault="007F509D" w:rsidP="007F50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потеря слуха, подтвержденная данными </w:t>
      </w: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аудиологических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исследований, по меньшей </w:t>
      </w:r>
      <w:proofErr w:type="gram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мере</w:t>
      </w:r>
      <w:proofErr w:type="gram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в одном случае;</w:t>
      </w:r>
    </w:p>
    <w:p w:rsidR="007F509D" w:rsidRPr="007F509D" w:rsidRDefault="007F509D" w:rsidP="007F50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шум в ушах или ощущение заложенности в причинном ухе;</w:t>
      </w:r>
    </w:p>
    <w:p w:rsidR="007F509D" w:rsidRPr="007F509D" w:rsidRDefault="007F509D" w:rsidP="007F509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другие причины исключены</w:t>
      </w:r>
      <w:proofErr w:type="gramStart"/>
      <w:r w:rsidRPr="00031DF3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.</w:t>
      </w:r>
      <w:proofErr w:type="gramEnd"/>
    </w:p>
    <w:p w:rsidR="00031DF3" w:rsidRDefault="00031DF3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509D" w:rsidRPr="00031DF3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Диагностика.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Диагностика классической формы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основывается на характерных клинических проявлениях и данных аудиометрии. Трудности в постановке диагноза могут быть связаны с тем, что многие пациенты, у которых болезнь начинается с приступов головокружения, не могут четко описать свои жалобы. Кроме того, существует ряд заболеваний и состояний, сопровождающихся в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естибулярными расстройствами</w:t>
      </w:r>
      <w:proofErr w:type="gram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доброкачественное пароксизмальное позиционное головокружение;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вертебробазилярная недостаточность;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вестибулярный </w:t>
      </w: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нейронит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черепно-мозговая травма;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фистула лабиринта;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инфекционный лабиринтит;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последствия </w:t>
      </w: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отохирургических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вмешательств;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отосклероз;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мостомозжечковые опухоли;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рассеянный склероз;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побочные проявления лекарственных препаратов;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острый гнойный средний отит;</w:t>
      </w:r>
    </w:p>
    <w:p w:rsidR="007F509D" w:rsidRPr="007F509D" w:rsidRDefault="007F509D" w:rsidP="007F509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гипервентиляция.</w:t>
      </w:r>
    </w:p>
    <w:p w:rsidR="007F509D" w:rsidRPr="007F509D" w:rsidRDefault="007F509D" w:rsidP="007F50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509D" w:rsidRPr="007F509D" w:rsidRDefault="007F509D" w:rsidP="007F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Окончательный диагноз болезни 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ставят на основании результатов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дегидратационных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тестов (в ответ на медикаментозную дегидратацию понижаются пороги звуковосприятия на низких частотах и улучшается слуховое восприятие речи), экстр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транстимпанальной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электрокохлеографии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(характерная для эндолим</w:t>
      </w:r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фатического </w:t>
      </w:r>
      <w:proofErr w:type="spell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гидропса</w:t>
      </w:r>
      <w:proofErr w:type="spellEnd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кривая)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Регистрируется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суммационный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потенциал (СП) и потенциал действия (ПД). Нарушение соотношения значений амплитуд СП/ПД (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&gt; 0,3) является характерным признаком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гидропса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лабиринта, записи вестибулярных вызванных миогенных потенциалов (характерно отсутствие пиков Р13, N23 — график в виде прямой).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Обследование больных с болезнью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 включать ряд обязательных тестов. К традиционным равновесным тестам,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диагностически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довольно надежным, относятся проба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Ромберга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проба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Унтербергера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проба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Бабинского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–Вейля, указательная проба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Барани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Перечисленные исследования в последние годы несколько утратили свое значение, поскольку в специализированных клиниках используют специальное оборудование для вестибулометрии и усложненные тесты. Кроме того, в «батарею тестов» входят: выявление спонтанной отоневрологической симптоматики, калорические тесты (тепловой 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холодовой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вращательный тест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Барани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тест плавного слежения, тест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саккад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исследование оптокинетического нистагма.</w:t>
      </w:r>
    </w:p>
    <w:p w:rsidR="007F509D" w:rsidRPr="00031DF3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Лечение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эмпирическим, поскольку нет единого взгляда на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этиопатогенез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данного заболевания. Все существующие в настоящее время способы и методы лечения направлены на облегчение переносимости больными приступов головокружения, но не изменяют значительно течение процесса и не предо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твращают развитие тугоухости</w:t>
      </w:r>
      <w:proofErr w:type="gram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Однако индивидуальная, подбираемая с учетом сопутствующих заболеваний терапия может замедлить развитие тугоухости, уменьшить выраженность ушного шума, уменьшить частоту и выра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женность головокружения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лечении острого приступа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применяют в основном медикаментозную и, при наличии условий,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карбоген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оксигенотерапию. Используют седативные препараты и средства, улучшающие мозговое кровообращение (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прохлорперазин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</w:t>
      </w:r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тазин</w:t>
      </w:r>
      <w:proofErr w:type="spellEnd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циннаризин</w:t>
      </w:r>
      <w:proofErr w:type="spellEnd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диазепам</w:t>
      </w:r>
      <w:proofErr w:type="spellEnd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дегидратационные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средства. В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остром периоде целесообразно вводить препараты парентерально или в свечах. Целесообразно проведение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заушных новокаиновых блокад</w:t>
      </w:r>
      <w:proofErr w:type="gram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наиболее известных схем купирования острого приступа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схема, разработанная И. Б. Солдатовым и Н. С.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Храппо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(1977): глюкоза 40% — 20,0 в/в,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Пипольфен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2,5% — 2,0 в/м (или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Аминазин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2,5% — 1,0 в/м), атропина сульфат 0,1% — 1,0 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/к (или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платифиллина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гидротартрат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0,2% — 2,0 п/к), кофеин-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бензоат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натрия 10% — 1,0 п/к; горчичники на шейно-затыло</w:t>
      </w:r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чную область, грелка к ногам</w:t>
      </w:r>
      <w:proofErr w:type="gram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Иногда к означенной схеме добавляют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ксантинола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никотинат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15% — 2,0 в/м ил</w:t>
      </w:r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циннаризин</w:t>
      </w:r>
      <w:proofErr w:type="spellEnd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либо </w:t>
      </w:r>
      <w:proofErr w:type="spell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винпоцетин</w:t>
      </w:r>
      <w:proofErr w:type="spellEnd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Лечение в межприступном периоде (поддерживающая терапия) должно быть комплексным и довольно активным. Показаны средства, предотвращающие развитие или уменьшающие эндолимфатический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гидропс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диуретики (фуросемид,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амилорид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гидрохлортиазид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вазодилататоры (аналог гистамина —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препараты, улучшающие мозговое крово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обращение (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циннаризин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пропранолол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кортикостероиды, а также немедикаментозное лечение — вестибулярная реабилитация, иглорефлексотерапия.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лекарственных препаратов, эффективно устраняющих головокружение и снижающих субъективный ушной шум, является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синтетический аналог гистамина.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впервые был синтезирован в 1941 году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Walter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соавторами, а в 1970 г. зарегистрирован как препарат для лечения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лишен таких побочных эффектов гистамина, как сильная головная боль, гиперемия лица, диплопия и рвота, кроме того, он принимается внутрь.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современным представлениям,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три уровня действия:</w:t>
      </w:r>
    </w:p>
    <w:p w:rsidR="007F509D" w:rsidRPr="007F509D" w:rsidRDefault="007F509D" w:rsidP="007F50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на </w:t>
      </w: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кохлеарный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кровоток;</w:t>
      </w:r>
    </w:p>
    <w:p w:rsidR="007F509D" w:rsidRPr="007F509D" w:rsidRDefault="007F509D" w:rsidP="007F50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на центральный вестибулярный аппарат;</w:t>
      </w:r>
    </w:p>
    <w:p w:rsidR="007F509D" w:rsidRPr="007F509D" w:rsidRDefault="007F509D" w:rsidP="007F50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на периферический вестибулярный аппарат.</w:t>
      </w:r>
    </w:p>
    <w:p w:rsidR="007F509D" w:rsidRPr="007F509D" w:rsidRDefault="007F509D" w:rsidP="007F50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Являясь слабым агонистом Н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-рецепторов и активным блокатором Н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-рецепторов, данный препарат стимулирует постсинаптические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гистаминовые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рецепторы. Именно Н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-антагонистическим эффектом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объясняют эффект нормализации возбуждения вестибулярных ядер в подкорковых структурах центральной нервной системы и вазоактивную составляющую д</w:t>
      </w: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ействия этого препарата</w:t>
      </w:r>
      <w:proofErr w:type="gram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подчеркнуть избирательность вазоактивного действия</w:t>
      </w:r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дигидрохлорида</w:t>
      </w:r>
      <w:proofErr w:type="spellEnd"/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улучшает микроциркуляцию внутреннего уха и проницаемость капилляров, а также нормализует давление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эндолимфы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лабиринте, не приводя к выраженному снижению артериального давления. Препарат также положительно влияет на передачу нервного импульса в медиальных и латеральных вестибулярных ядрах и периферических вестибулярн</w:t>
      </w:r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рецепторных образованиях</w:t>
      </w:r>
      <w:proofErr w:type="gramStart"/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многих клиницистов свидетельствует о том, что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уменьшает интенсивность головокружений, сокращает длительность эпизодов головокружений, делает их более редкими. Препарат эффективен как для купирования приступов головокружений и профилактики их рецидивов, так и для уменьшения субъективного ушного шума.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Следует отметить целесообразность использования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бетагистина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дигидрохлорида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пациентов с болезнью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постоперационном периоде — головокружение, как правило, исчезае</w:t>
      </w:r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на 3–4 день после операции</w:t>
      </w:r>
      <w:proofErr w:type="gramStart"/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Особняком стоит использование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аминогликозидов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обладающих токсическим действием в отношении клеток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нейроэпителия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внутреннего уха. Метод может использоваться на поздних стадиях БМ при двустороннем поражении и применяется у лиц, которым противопоказано хирургическое лечение.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Интратимпанальное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введение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аминогликозидов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достаточно эффективно и возможно </w:t>
      </w:r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одностороннем поражении</w:t>
      </w:r>
      <w:proofErr w:type="gramStart"/>
      <w:r w:rsid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явной неэффективности консервативного лечения целесообразны различные хирургические вмешательства, как щадящие (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слухосохраняющие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так и деструктивные. Деструктивные методы показаны при тяжелых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инвалидизирующих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Выделяют 5 групп:</w:t>
      </w:r>
    </w:p>
    <w:p w:rsidR="007F509D" w:rsidRPr="007F509D" w:rsidRDefault="007F509D" w:rsidP="007F509D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— вмешательства на автономной нервной системе (хор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д-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хордплексусэктомия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 — перерезка сухожилий мышц барабанной полости;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 —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декомпрессивные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операции на внутреннем ухе;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— деструктивные операции на лабиринте;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 — деструктивные операции н</w:t>
      </w:r>
      <w:r w:rsidR="00031DF3"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преддверно-улитковом нерве </w:t>
      </w: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слухосохраняющим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операциям относятся:</w:t>
      </w:r>
    </w:p>
    <w:p w:rsidR="007F509D" w:rsidRPr="007F509D" w:rsidRDefault="007F509D" w:rsidP="007F50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шунтирование эндолимфатического мешка — наиболее распространенное хирургическое вмешательство при БМ;</w:t>
      </w:r>
    </w:p>
    <w:p w:rsidR="007F509D" w:rsidRPr="007F509D" w:rsidRDefault="007F509D" w:rsidP="007F50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саккулотомия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— </w:t>
      </w: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декомпрессивная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 операция на сферическом мешочке;</w:t>
      </w:r>
    </w:p>
    <w:p w:rsidR="007F509D" w:rsidRPr="007F509D" w:rsidRDefault="007F509D" w:rsidP="007F50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пересечение вестибулярного нерва с целью прекращения афферентной </w:t>
      </w: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импульсации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, что способствует исчезновению вестибулярных расстройств.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безуспешности щадящих видов хирургических вмешатель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оводят деструктивные операции:</w:t>
      </w:r>
    </w:p>
    <w:p w:rsidR="007F509D" w:rsidRPr="007F509D" w:rsidRDefault="007F509D" w:rsidP="007F50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лабиринтэктомия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;</w:t>
      </w:r>
    </w:p>
    <w:p w:rsidR="007F509D" w:rsidRPr="007F509D" w:rsidRDefault="007F509D" w:rsidP="007F50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кохлеосаккулотомия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;</w:t>
      </w:r>
    </w:p>
    <w:p w:rsidR="007F509D" w:rsidRPr="007F509D" w:rsidRDefault="007F509D" w:rsidP="007F50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 xml:space="preserve">вестибулярная </w:t>
      </w:r>
      <w:proofErr w:type="spellStart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нейрэктомия</w:t>
      </w:r>
      <w:proofErr w:type="spellEnd"/>
      <w:r w:rsidRPr="007F509D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.</w:t>
      </w:r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Следует отметить, что операции на автономной нервной системе и перерезка сухожилий мышц барабанной полости малоэффективны, а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декомпрессивные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деструктивные хирургические вмешательства, как правило, приводят к глухоте на оперированное ухо и возобновлению приступов головокружений в отдаленные сроки в связи с фиброзным заращением созданных соустий; деструктивные операции на преддверно-улитковом нерве выполняются в отделениях нейрохирургии.</w:t>
      </w:r>
      <w:proofErr w:type="gramEnd"/>
    </w:p>
    <w:p w:rsidR="007F509D" w:rsidRPr="007F509D" w:rsidRDefault="007F509D" w:rsidP="007F509D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применяется такой метод хирургического лечения, как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лазеродеструкция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горизонтального полукружного канала, </w:t>
      </w:r>
      <w:proofErr w:type="gram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</w:t>
      </w:r>
      <w:proofErr w:type="gram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добиться избавления от приступов головокружения в ближайшие и отдаленные сроки, сохранить слух и задержать развитие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гидропического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 в другом ухе при одностороннем процессе.</w:t>
      </w:r>
    </w:p>
    <w:p w:rsidR="00AE2D9C" w:rsidRDefault="007F509D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Однако, несмотря на обилие научных работ, посвященных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множество средств и способов, используемых при ее лечении, проблема, по существу, остается нерешенной, поскольку до настоящего времени не существует единой, признанной всеми ведущими специалистами лечебной тактики. Поиски идеального метода лечения болезни </w:t>
      </w:r>
      <w:proofErr w:type="spellStart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7F5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продолжаются.</w:t>
      </w: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DF3" w:rsidRDefault="00031DF3" w:rsidP="00031DF3">
      <w:p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литературы:</w:t>
      </w:r>
    </w:p>
    <w:p w:rsidR="00031DF3" w:rsidRPr="00031DF3" w:rsidRDefault="00031DF3" w:rsidP="00031DF3">
      <w:pPr>
        <w:pStyle w:val="a4"/>
        <w:numPr>
          <w:ilvl w:val="0"/>
          <w:numId w:val="22"/>
        </w:numPr>
        <w:shd w:val="clear" w:color="auto" w:fill="FFFFFF"/>
        <w:spacing w:before="150" w:after="30" w:line="240" w:lineRule="auto"/>
        <w:textAlignment w:val="baseline"/>
        <w:rPr>
          <w:rFonts w:ascii="Times New Roman" w:hAnsi="Times New Roman" w:cs="Times New Roman"/>
          <w:iCs/>
          <w:color w:val="231F20"/>
          <w:sz w:val="24"/>
          <w:szCs w:val="24"/>
          <w:shd w:val="clear" w:color="auto" w:fill="FFFFFF"/>
        </w:rPr>
      </w:pPr>
      <w:proofErr w:type="spellStart"/>
      <w:r w:rsidRPr="00031DF3">
        <w:rPr>
          <w:rStyle w:val="ae"/>
          <w:rFonts w:ascii="Times New Roman" w:hAnsi="Times New Roman" w:cs="Times New Roman"/>
          <w:i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>Бабияк</w:t>
      </w:r>
      <w:proofErr w:type="spellEnd"/>
      <w:r w:rsidRPr="00031DF3">
        <w:rPr>
          <w:rStyle w:val="ae"/>
          <w:rFonts w:ascii="Times New Roman" w:hAnsi="Times New Roman" w:cs="Times New Roman"/>
          <w:i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В. И., </w:t>
      </w:r>
      <w:proofErr w:type="spellStart"/>
      <w:r w:rsidRPr="00031DF3">
        <w:rPr>
          <w:rStyle w:val="ae"/>
          <w:rFonts w:ascii="Times New Roman" w:hAnsi="Times New Roman" w:cs="Times New Roman"/>
          <w:i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>Ланцов</w:t>
      </w:r>
      <w:proofErr w:type="spellEnd"/>
      <w:r w:rsidRPr="00031DF3">
        <w:rPr>
          <w:rStyle w:val="ae"/>
          <w:rFonts w:ascii="Times New Roman" w:hAnsi="Times New Roman" w:cs="Times New Roman"/>
          <w:i w:val="0"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А. А., Базаров В. Г. </w:t>
      </w:r>
      <w:proofErr w:type="gramStart"/>
      <w:r w:rsidRPr="00031DF3">
        <w:rPr>
          <w:rFonts w:ascii="Times New Roman" w:hAnsi="Times New Roman" w:cs="Times New Roman"/>
          <w:iCs/>
          <w:color w:val="231F20"/>
          <w:sz w:val="24"/>
          <w:szCs w:val="24"/>
          <w:shd w:val="clear" w:color="auto" w:fill="FFFFFF"/>
        </w:rPr>
        <w:t>Клиническая</w:t>
      </w:r>
      <w:proofErr w:type="gramEnd"/>
      <w:r w:rsidRPr="00031DF3">
        <w:rPr>
          <w:rFonts w:ascii="Times New Roman" w:hAnsi="Times New Roman" w:cs="Times New Roman"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031DF3">
        <w:rPr>
          <w:rFonts w:ascii="Times New Roman" w:hAnsi="Times New Roman" w:cs="Times New Roman"/>
          <w:iCs/>
          <w:color w:val="231F20"/>
          <w:sz w:val="24"/>
          <w:szCs w:val="24"/>
          <w:shd w:val="clear" w:color="auto" w:fill="FFFFFF"/>
        </w:rPr>
        <w:t>вестибулология</w:t>
      </w:r>
      <w:proofErr w:type="spellEnd"/>
      <w:r w:rsidRPr="00031DF3">
        <w:rPr>
          <w:rFonts w:ascii="Times New Roman" w:hAnsi="Times New Roman" w:cs="Times New Roman"/>
          <w:iCs/>
          <w:color w:val="231F20"/>
          <w:sz w:val="24"/>
          <w:szCs w:val="24"/>
          <w:shd w:val="clear" w:color="auto" w:fill="FFFFFF"/>
        </w:rPr>
        <w:t>.</w:t>
      </w:r>
    </w:p>
    <w:p w:rsidR="00031DF3" w:rsidRPr="00031DF3" w:rsidRDefault="00031DF3" w:rsidP="00031DF3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Сагалович Б. М., </w:t>
      </w:r>
      <w:proofErr w:type="spell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Пальчун</w:t>
      </w:r>
      <w:proofErr w:type="spellEnd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Т. Болезнь </w:t>
      </w:r>
      <w:proofErr w:type="spellStart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Меньера</w:t>
      </w:r>
      <w:proofErr w:type="spellEnd"/>
      <w:r w:rsidRPr="0003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М.: ООО «Медицинское информационное агентство», 1999. 525 с.</w:t>
      </w:r>
    </w:p>
    <w:p w:rsidR="00031DF3" w:rsidRPr="00031DF3" w:rsidRDefault="00031DF3" w:rsidP="00031DF3">
      <w:pPr>
        <w:pStyle w:val="a4"/>
        <w:numPr>
          <w:ilvl w:val="0"/>
          <w:numId w:val="22"/>
        </w:numPr>
        <w:shd w:val="clear" w:color="auto" w:fill="FFFFFF"/>
        <w:spacing w:before="150"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DF3">
        <w:rPr>
          <w:rFonts w:ascii="Times New Roman" w:eastAsia="Calibri" w:hAnsi="Times New Roman" w:cs="Times New Roman"/>
          <w:sz w:val="24"/>
          <w:szCs w:val="24"/>
        </w:rPr>
        <w:t xml:space="preserve">Учебник для ВУЗов Оториноларингология </w:t>
      </w:r>
      <w:proofErr w:type="spellStart"/>
      <w:r w:rsidRPr="00031DF3">
        <w:rPr>
          <w:rFonts w:ascii="Times New Roman" w:eastAsia="Calibri" w:hAnsi="Times New Roman" w:cs="Times New Roman"/>
          <w:sz w:val="24"/>
          <w:szCs w:val="24"/>
        </w:rPr>
        <w:t>В.Т.Пальчун</w:t>
      </w:r>
      <w:proofErr w:type="spellEnd"/>
      <w:r w:rsidRPr="00031DF3">
        <w:rPr>
          <w:rFonts w:ascii="Times New Roman" w:eastAsia="Calibri" w:hAnsi="Times New Roman" w:cs="Times New Roman"/>
          <w:sz w:val="24"/>
          <w:szCs w:val="24"/>
        </w:rPr>
        <w:t xml:space="preserve">, М.М. Магомедов, </w:t>
      </w:r>
      <w:proofErr w:type="spellStart"/>
      <w:r w:rsidRPr="00031DF3">
        <w:rPr>
          <w:rFonts w:ascii="Times New Roman" w:eastAsia="Calibri" w:hAnsi="Times New Roman" w:cs="Times New Roman"/>
          <w:sz w:val="24"/>
          <w:szCs w:val="24"/>
        </w:rPr>
        <w:t>Л.А.Лучихин</w:t>
      </w:r>
      <w:proofErr w:type="spellEnd"/>
      <w:r w:rsidRPr="00031DF3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31DF3" w:rsidRPr="00031DF3" w:rsidSect="000E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AF" w:rsidRDefault="006519AF" w:rsidP="00E763AD">
      <w:pPr>
        <w:spacing w:after="0" w:line="240" w:lineRule="auto"/>
      </w:pPr>
      <w:r>
        <w:separator/>
      </w:r>
    </w:p>
  </w:endnote>
  <w:endnote w:type="continuationSeparator" w:id="0">
    <w:p w:rsidR="006519AF" w:rsidRDefault="006519AF" w:rsidP="00E7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AF" w:rsidRDefault="006519AF" w:rsidP="00E763AD">
      <w:pPr>
        <w:spacing w:after="0" w:line="240" w:lineRule="auto"/>
      </w:pPr>
      <w:r>
        <w:separator/>
      </w:r>
    </w:p>
  </w:footnote>
  <w:footnote w:type="continuationSeparator" w:id="0">
    <w:p w:rsidR="006519AF" w:rsidRDefault="006519AF" w:rsidP="00E7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1FAEBC6"/>
    <w:lvl w:ilvl="0" w:tplc="B77A7724">
      <w:start w:val="1"/>
      <w:numFmt w:val="decimal"/>
      <w:lvlText w:val="%1)"/>
      <w:lvlJc w:val="left"/>
    </w:lvl>
    <w:lvl w:ilvl="1" w:tplc="3E8E1A92">
      <w:start w:val="1"/>
      <w:numFmt w:val="bullet"/>
      <w:lvlText w:val="В"/>
      <w:lvlJc w:val="left"/>
    </w:lvl>
    <w:lvl w:ilvl="2" w:tplc="969C7DD6">
      <w:numFmt w:val="decimal"/>
      <w:lvlText w:val=""/>
      <w:lvlJc w:val="left"/>
    </w:lvl>
    <w:lvl w:ilvl="3" w:tplc="EB06E44C">
      <w:numFmt w:val="decimal"/>
      <w:lvlText w:val=""/>
      <w:lvlJc w:val="left"/>
    </w:lvl>
    <w:lvl w:ilvl="4" w:tplc="EB64DAD4">
      <w:numFmt w:val="decimal"/>
      <w:lvlText w:val=""/>
      <w:lvlJc w:val="left"/>
    </w:lvl>
    <w:lvl w:ilvl="5" w:tplc="969ED5A0">
      <w:numFmt w:val="decimal"/>
      <w:lvlText w:val=""/>
      <w:lvlJc w:val="left"/>
    </w:lvl>
    <w:lvl w:ilvl="6" w:tplc="10945E56">
      <w:numFmt w:val="decimal"/>
      <w:lvlText w:val=""/>
      <w:lvlJc w:val="left"/>
    </w:lvl>
    <w:lvl w:ilvl="7" w:tplc="7F462FD6">
      <w:numFmt w:val="decimal"/>
      <w:lvlText w:val=""/>
      <w:lvlJc w:val="left"/>
    </w:lvl>
    <w:lvl w:ilvl="8" w:tplc="A0963F2C">
      <w:numFmt w:val="decimal"/>
      <w:lvlText w:val=""/>
      <w:lvlJc w:val="left"/>
    </w:lvl>
  </w:abstractNum>
  <w:abstractNum w:abstractNumId="1">
    <w:nsid w:val="00000124"/>
    <w:multiLevelType w:val="hybridMultilevel"/>
    <w:tmpl w:val="00E21A58"/>
    <w:lvl w:ilvl="0" w:tplc="142E7BD6">
      <w:start w:val="1"/>
      <w:numFmt w:val="decimal"/>
      <w:lvlText w:val="%1)"/>
      <w:lvlJc w:val="left"/>
    </w:lvl>
    <w:lvl w:ilvl="1" w:tplc="22B83F00">
      <w:start w:val="1"/>
      <w:numFmt w:val="bullet"/>
      <w:lvlText w:val="В"/>
      <w:lvlJc w:val="left"/>
    </w:lvl>
    <w:lvl w:ilvl="2" w:tplc="643CAE22">
      <w:numFmt w:val="decimal"/>
      <w:lvlText w:val=""/>
      <w:lvlJc w:val="left"/>
    </w:lvl>
    <w:lvl w:ilvl="3" w:tplc="FFA27BAE">
      <w:numFmt w:val="decimal"/>
      <w:lvlText w:val=""/>
      <w:lvlJc w:val="left"/>
    </w:lvl>
    <w:lvl w:ilvl="4" w:tplc="5A9A2B54">
      <w:numFmt w:val="decimal"/>
      <w:lvlText w:val=""/>
      <w:lvlJc w:val="left"/>
    </w:lvl>
    <w:lvl w:ilvl="5" w:tplc="A926A396">
      <w:numFmt w:val="decimal"/>
      <w:lvlText w:val=""/>
      <w:lvlJc w:val="left"/>
    </w:lvl>
    <w:lvl w:ilvl="6" w:tplc="58A88384">
      <w:numFmt w:val="decimal"/>
      <w:lvlText w:val=""/>
      <w:lvlJc w:val="left"/>
    </w:lvl>
    <w:lvl w:ilvl="7" w:tplc="C318F502">
      <w:numFmt w:val="decimal"/>
      <w:lvlText w:val=""/>
      <w:lvlJc w:val="left"/>
    </w:lvl>
    <w:lvl w:ilvl="8" w:tplc="0D3AD684">
      <w:numFmt w:val="decimal"/>
      <w:lvlText w:val=""/>
      <w:lvlJc w:val="left"/>
    </w:lvl>
  </w:abstractNum>
  <w:abstractNum w:abstractNumId="2">
    <w:nsid w:val="00000F3E"/>
    <w:multiLevelType w:val="hybridMultilevel"/>
    <w:tmpl w:val="14EE698A"/>
    <w:lvl w:ilvl="0" w:tplc="67B034DA">
      <w:start w:val="1"/>
      <w:numFmt w:val="bullet"/>
      <w:lvlText w:val="в"/>
      <w:lvlJc w:val="left"/>
    </w:lvl>
    <w:lvl w:ilvl="1" w:tplc="01D21AC4">
      <w:numFmt w:val="decimal"/>
      <w:lvlText w:val=""/>
      <w:lvlJc w:val="left"/>
    </w:lvl>
    <w:lvl w:ilvl="2" w:tplc="22A20FAA">
      <w:numFmt w:val="decimal"/>
      <w:lvlText w:val=""/>
      <w:lvlJc w:val="left"/>
    </w:lvl>
    <w:lvl w:ilvl="3" w:tplc="6DB054C8">
      <w:numFmt w:val="decimal"/>
      <w:lvlText w:val=""/>
      <w:lvlJc w:val="left"/>
    </w:lvl>
    <w:lvl w:ilvl="4" w:tplc="088ADC86">
      <w:numFmt w:val="decimal"/>
      <w:lvlText w:val=""/>
      <w:lvlJc w:val="left"/>
    </w:lvl>
    <w:lvl w:ilvl="5" w:tplc="A5762FF0">
      <w:numFmt w:val="decimal"/>
      <w:lvlText w:val=""/>
      <w:lvlJc w:val="left"/>
    </w:lvl>
    <w:lvl w:ilvl="6" w:tplc="7CC2AFE6">
      <w:numFmt w:val="decimal"/>
      <w:lvlText w:val=""/>
      <w:lvlJc w:val="left"/>
    </w:lvl>
    <w:lvl w:ilvl="7" w:tplc="B22CD04C">
      <w:numFmt w:val="decimal"/>
      <w:lvlText w:val=""/>
      <w:lvlJc w:val="left"/>
    </w:lvl>
    <w:lvl w:ilvl="8" w:tplc="B3240688">
      <w:numFmt w:val="decimal"/>
      <w:lvlText w:val=""/>
      <w:lvlJc w:val="left"/>
    </w:lvl>
  </w:abstractNum>
  <w:abstractNum w:abstractNumId="3">
    <w:nsid w:val="0000305E"/>
    <w:multiLevelType w:val="hybridMultilevel"/>
    <w:tmpl w:val="20A00FAC"/>
    <w:lvl w:ilvl="0" w:tplc="9B94F166">
      <w:start w:val="1"/>
      <w:numFmt w:val="bullet"/>
      <w:lvlText w:val="а"/>
      <w:lvlJc w:val="left"/>
    </w:lvl>
    <w:lvl w:ilvl="1" w:tplc="9284791E">
      <w:numFmt w:val="decimal"/>
      <w:lvlText w:val=""/>
      <w:lvlJc w:val="left"/>
    </w:lvl>
    <w:lvl w:ilvl="2" w:tplc="E59AD4A2">
      <w:numFmt w:val="decimal"/>
      <w:lvlText w:val=""/>
      <w:lvlJc w:val="left"/>
    </w:lvl>
    <w:lvl w:ilvl="3" w:tplc="D5AA5B36">
      <w:numFmt w:val="decimal"/>
      <w:lvlText w:val=""/>
      <w:lvlJc w:val="left"/>
    </w:lvl>
    <w:lvl w:ilvl="4" w:tplc="942E4D7E">
      <w:numFmt w:val="decimal"/>
      <w:lvlText w:val=""/>
      <w:lvlJc w:val="left"/>
    </w:lvl>
    <w:lvl w:ilvl="5" w:tplc="4CE20D34">
      <w:numFmt w:val="decimal"/>
      <w:lvlText w:val=""/>
      <w:lvlJc w:val="left"/>
    </w:lvl>
    <w:lvl w:ilvl="6" w:tplc="D8BA0470">
      <w:numFmt w:val="decimal"/>
      <w:lvlText w:val=""/>
      <w:lvlJc w:val="left"/>
    </w:lvl>
    <w:lvl w:ilvl="7" w:tplc="B5F4DFB4">
      <w:numFmt w:val="decimal"/>
      <w:lvlText w:val=""/>
      <w:lvlJc w:val="left"/>
    </w:lvl>
    <w:lvl w:ilvl="8" w:tplc="B8ECAAEC">
      <w:numFmt w:val="decimal"/>
      <w:lvlText w:val=""/>
      <w:lvlJc w:val="left"/>
    </w:lvl>
  </w:abstractNum>
  <w:abstractNum w:abstractNumId="4">
    <w:nsid w:val="1A7D5D66"/>
    <w:multiLevelType w:val="hybridMultilevel"/>
    <w:tmpl w:val="CA14EE8A"/>
    <w:lvl w:ilvl="0" w:tplc="D6E234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034FE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807D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960A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A8A7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B82E85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7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EADB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E00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236D589F"/>
    <w:multiLevelType w:val="multilevel"/>
    <w:tmpl w:val="243E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E4677"/>
    <w:multiLevelType w:val="hybridMultilevel"/>
    <w:tmpl w:val="E91A375C"/>
    <w:lvl w:ilvl="0" w:tplc="53F433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A027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2056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AE05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ECC8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880D3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2CEB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9CF6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90CF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330E64EA"/>
    <w:multiLevelType w:val="hybridMultilevel"/>
    <w:tmpl w:val="83F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25128"/>
    <w:multiLevelType w:val="hybridMultilevel"/>
    <w:tmpl w:val="6BE46AC2"/>
    <w:lvl w:ilvl="0" w:tplc="13EEFB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582BA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36C58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702F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3E09A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E6C3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4A34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A045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7A33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3F80450B"/>
    <w:multiLevelType w:val="hybridMultilevel"/>
    <w:tmpl w:val="EF36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16F54"/>
    <w:multiLevelType w:val="hybridMultilevel"/>
    <w:tmpl w:val="8FD8D468"/>
    <w:lvl w:ilvl="0" w:tplc="29D8C0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5E678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B6E4C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4E71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AC88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C637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F465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FE069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1FE36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443030F5"/>
    <w:multiLevelType w:val="multilevel"/>
    <w:tmpl w:val="B9B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B74E4"/>
    <w:multiLevelType w:val="hybridMultilevel"/>
    <w:tmpl w:val="2E78FC14"/>
    <w:lvl w:ilvl="0" w:tplc="178483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A6CA1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660A4D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FC53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7D8FF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4DC34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4F4F9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6451B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676F8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5A64072F"/>
    <w:multiLevelType w:val="hybridMultilevel"/>
    <w:tmpl w:val="5F98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64879"/>
    <w:multiLevelType w:val="hybridMultilevel"/>
    <w:tmpl w:val="180C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04C4B"/>
    <w:multiLevelType w:val="multilevel"/>
    <w:tmpl w:val="3D0A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22A6D"/>
    <w:multiLevelType w:val="hybridMultilevel"/>
    <w:tmpl w:val="BF2EEC6A"/>
    <w:lvl w:ilvl="0" w:tplc="5E9847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4123E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98FF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8B067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16A3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0F033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3EF5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9841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C36770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>
    <w:nsid w:val="667D0DAA"/>
    <w:multiLevelType w:val="hybridMultilevel"/>
    <w:tmpl w:val="DD3ABD30"/>
    <w:lvl w:ilvl="0" w:tplc="8FA645E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9B211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59AA9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7CA60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20DC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2C04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8EC35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B203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2A480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686833D4"/>
    <w:multiLevelType w:val="hybridMultilevel"/>
    <w:tmpl w:val="0EBA6B26"/>
    <w:lvl w:ilvl="0" w:tplc="1F8E0F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B38AA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30C6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32BF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B668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F85D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55646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E409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19CB8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>
    <w:nsid w:val="6F08680C"/>
    <w:multiLevelType w:val="multilevel"/>
    <w:tmpl w:val="BC8C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B71D7"/>
    <w:multiLevelType w:val="multilevel"/>
    <w:tmpl w:val="1546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A6B8F"/>
    <w:multiLevelType w:val="multilevel"/>
    <w:tmpl w:val="91F0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333333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946371"/>
    <w:multiLevelType w:val="hybridMultilevel"/>
    <w:tmpl w:val="E9E6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4"/>
  </w:num>
  <w:num w:numId="7">
    <w:abstractNumId w:val="9"/>
  </w:num>
  <w:num w:numId="8">
    <w:abstractNumId w:val="22"/>
  </w:num>
  <w:num w:numId="9">
    <w:abstractNumId w:val="7"/>
  </w:num>
  <w:num w:numId="10">
    <w:abstractNumId w:val="20"/>
  </w:num>
  <w:num w:numId="11">
    <w:abstractNumId w:val="16"/>
  </w:num>
  <w:num w:numId="12">
    <w:abstractNumId w:val="8"/>
  </w:num>
  <w:num w:numId="13">
    <w:abstractNumId w:val="10"/>
  </w:num>
  <w:num w:numId="14">
    <w:abstractNumId w:val="18"/>
  </w:num>
  <w:num w:numId="15">
    <w:abstractNumId w:val="6"/>
  </w:num>
  <w:num w:numId="16">
    <w:abstractNumId w:val="12"/>
  </w:num>
  <w:num w:numId="17">
    <w:abstractNumId w:val="17"/>
  </w:num>
  <w:num w:numId="18">
    <w:abstractNumId w:val="4"/>
  </w:num>
  <w:num w:numId="19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9E"/>
    <w:rsid w:val="00031DF3"/>
    <w:rsid w:val="000853E5"/>
    <w:rsid w:val="000C7A21"/>
    <w:rsid w:val="000E1647"/>
    <w:rsid w:val="001802DC"/>
    <w:rsid w:val="001B2B9E"/>
    <w:rsid w:val="001D74AB"/>
    <w:rsid w:val="002B1F8C"/>
    <w:rsid w:val="003541E9"/>
    <w:rsid w:val="003C160E"/>
    <w:rsid w:val="003C238D"/>
    <w:rsid w:val="003F2865"/>
    <w:rsid w:val="004A1F81"/>
    <w:rsid w:val="005511FC"/>
    <w:rsid w:val="005F3FC6"/>
    <w:rsid w:val="006519AF"/>
    <w:rsid w:val="00662724"/>
    <w:rsid w:val="00674499"/>
    <w:rsid w:val="00697201"/>
    <w:rsid w:val="0077127C"/>
    <w:rsid w:val="007F509D"/>
    <w:rsid w:val="0098438A"/>
    <w:rsid w:val="009E6399"/>
    <w:rsid w:val="00A3695A"/>
    <w:rsid w:val="00A518D2"/>
    <w:rsid w:val="00AA6498"/>
    <w:rsid w:val="00AE2D9C"/>
    <w:rsid w:val="00B177CE"/>
    <w:rsid w:val="00B6362A"/>
    <w:rsid w:val="00B716EB"/>
    <w:rsid w:val="00B96110"/>
    <w:rsid w:val="00C27B16"/>
    <w:rsid w:val="00CE5D2B"/>
    <w:rsid w:val="00D956E5"/>
    <w:rsid w:val="00E763AD"/>
    <w:rsid w:val="00F13898"/>
    <w:rsid w:val="00F8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47"/>
  </w:style>
  <w:style w:type="paragraph" w:styleId="1">
    <w:name w:val="heading 1"/>
    <w:basedOn w:val="a"/>
    <w:next w:val="a"/>
    <w:link w:val="10"/>
    <w:uiPriority w:val="9"/>
    <w:qFormat/>
    <w:rsid w:val="00AA649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7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6498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B1F8C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2B1F8C"/>
    <w:pPr>
      <w:spacing w:after="100"/>
    </w:pPr>
  </w:style>
  <w:style w:type="character" w:styleId="a6">
    <w:name w:val="Hyperlink"/>
    <w:basedOn w:val="a0"/>
    <w:uiPriority w:val="99"/>
    <w:unhideWhenUsed/>
    <w:rsid w:val="002B1F8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F8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7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63AD"/>
  </w:style>
  <w:style w:type="paragraph" w:styleId="ac">
    <w:name w:val="footer"/>
    <w:basedOn w:val="a"/>
    <w:link w:val="ad"/>
    <w:uiPriority w:val="99"/>
    <w:unhideWhenUsed/>
    <w:rsid w:val="00E7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63AD"/>
  </w:style>
  <w:style w:type="character" w:styleId="ae">
    <w:name w:val="Emphasis"/>
    <w:basedOn w:val="a0"/>
    <w:uiPriority w:val="20"/>
    <w:qFormat/>
    <w:rsid w:val="00031D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47"/>
  </w:style>
  <w:style w:type="paragraph" w:styleId="1">
    <w:name w:val="heading 1"/>
    <w:basedOn w:val="a"/>
    <w:next w:val="a"/>
    <w:link w:val="10"/>
    <w:uiPriority w:val="9"/>
    <w:qFormat/>
    <w:rsid w:val="00AA649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7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6498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B1F8C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2B1F8C"/>
    <w:pPr>
      <w:spacing w:after="100"/>
    </w:pPr>
  </w:style>
  <w:style w:type="character" w:styleId="a6">
    <w:name w:val="Hyperlink"/>
    <w:basedOn w:val="a0"/>
    <w:uiPriority w:val="99"/>
    <w:unhideWhenUsed/>
    <w:rsid w:val="002B1F8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F8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7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63AD"/>
  </w:style>
  <w:style w:type="paragraph" w:styleId="ac">
    <w:name w:val="footer"/>
    <w:basedOn w:val="a"/>
    <w:link w:val="ad"/>
    <w:uiPriority w:val="99"/>
    <w:unhideWhenUsed/>
    <w:rsid w:val="00E7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63AD"/>
  </w:style>
  <w:style w:type="character" w:styleId="ae">
    <w:name w:val="Emphasis"/>
    <w:basedOn w:val="a0"/>
    <w:uiPriority w:val="20"/>
    <w:qFormat/>
    <w:rsid w:val="00031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5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7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0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8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0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9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1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4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2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A53C-A99D-4E38-84CC-7FC7BA99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3</cp:revision>
  <cp:lastPrinted>2020-01-09T08:52:00Z</cp:lastPrinted>
  <dcterms:created xsi:type="dcterms:W3CDTF">2021-06-07T11:18:00Z</dcterms:created>
  <dcterms:modified xsi:type="dcterms:W3CDTF">2021-06-07T15:26:00Z</dcterms:modified>
</cp:coreProperties>
</file>