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EC95" w14:textId="6D12DE3A" w:rsidR="00C032F3" w:rsidRPr="001539D2" w:rsidRDefault="00C032F3" w:rsidP="008F4566">
      <w:pPr>
        <w:widowControl w:val="0"/>
        <w:tabs>
          <w:tab w:val="center" w:pos="4677"/>
          <w:tab w:val="right" w:pos="9355"/>
        </w:tabs>
        <w:autoSpaceDE w:val="0"/>
        <w:autoSpaceDN w:val="0"/>
        <w:adjustRightInd w:val="0"/>
        <w:jc w:val="center"/>
        <w:rPr>
          <w:color w:val="000000" w:themeColor="text1"/>
          <w:sz w:val="28"/>
          <w:szCs w:val="28"/>
        </w:rPr>
      </w:pPr>
      <w:r w:rsidRPr="001539D2">
        <w:rPr>
          <w:color w:val="000000" w:themeColor="text1"/>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2C5D9208" w14:textId="5C369B9A" w:rsidR="00011B66" w:rsidRPr="001539D2" w:rsidRDefault="00C032F3" w:rsidP="00011B66">
      <w:pPr>
        <w:spacing w:after="120"/>
        <w:ind w:left="283"/>
        <w:jc w:val="center"/>
        <w:rPr>
          <w:color w:val="000000" w:themeColor="text1"/>
          <w:sz w:val="28"/>
          <w:szCs w:val="28"/>
        </w:rPr>
      </w:pPr>
      <w:r w:rsidRPr="001539D2">
        <w:rPr>
          <w:color w:val="000000" w:themeColor="text1"/>
          <w:sz w:val="28"/>
          <w:szCs w:val="28"/>
        </w:rPr>
        <w:t xml:space="preserve">ФГБОУ ВО </w:t>
      </w:r>
      <w:proofErr w:type="spellStart"/>
      <w:r w:rsidRPr="001539D2">
        <w:rPr>
          <w:color w:val="000000" w:themeColor="text1"/>
          <w:sz w:val="28"/>
          <w:szCs w:val="28"/>
        </w:rPr>
        <w:t>КрасГМУ</w:t>
      </w:r>
      <w:proofErr w:type="spellEnd"/>
      <w:r w:rsidRPr="001539D2">
        <w:rPr>
          <w:color w:val="000000" w:themeColor="text1"/>
          <w:sz w:val="28"/>
          <w:szCs w:val="28"/>
        </w:rPr>
        <w:t xml:space="preserve"> им. проф. В.Ф. </w:t>
      </w:r>
      <w:proofErr w:type="spellStart"/>
      <w:proofErr w:type="gramStart"/>
      <w:r w:rsidRPr="001539D2">
        <w:rPr>
          <w:color w:val="000000" w:themeColor="text1"/>
          <w:sz w:val="28"/>
          <w:szCs w:val="28"/>
        </w:rPr>
        <w:t>Войно-Ясенецкого</w:t>
      </w:r>
      <w:proofErr w:type="spellEnd"/>
      <w:proofErr w:type="gramEnd"/>
    </w:p>
    <w:p w14:paraId="3CCCFBF4" w14:textId="1CB80F7B" w:rsidR="00C032F3" w:rsidRPr="001539D2" w:rsidRDefault="00C032F3" w:rsidP="00011B66">
      <w:pPr>
        <w:spacing w:after="120"/>
        <w:ind w:left="283"/>
        <w:jc w:val="center"/>
        <w:rPr>
          <w:color w:val="000000" w:themeColor="text1"/>
          <w:sz w:val="28"/>
          <w:szCs w:val="28"/>
        </w:rPr>
      </w:pPr>
      <w:r w:rsidRPr="001539D2">
        <w:rPr>
          <w:color w:val="000000" w:themeColor="text1"/>
          <w:sz w:val="28"/>
          <w:szCs w:val="28"/>
        </w:rPr>
        <w:t>Минздрава России</w:t>
      </w:r>
    </w:p>
    <w:p w14:paraId="1EEA81CE" w14:textId="77777777" w:rsidR="00C032F3" w:rsidRPr="001539D2" w:rsidRDefault="00C032F3" w:rsidP="008F4566">
      <w:pPr>
        <w:spacing w:after="120"/>
        <w:ind w:left="283" w:firstLine="709"/>
        <w:jc w:val="center"/>
        <w:rPr>
          <w:color w:val="000000" w:themeColor="text1"/>
          <w:sz w:val="28"/>
          <w:szCs w:val="28"/>
        </w:rPr>
      </w:pPr>
    </w:p>
    <w:p w14:paraId="4E661B7D" w14:textId="6241BCC9" w:rsidR="00C032F3" w:rsidRPr="001539D2" w:rsidRDefault="007E64A5" w:rsidP="003840E9">
      <w:pPr>
        <w:ind w:firstLine="709"/>
        <w:jc w:val="center"/>
        <w:rPr>
          <w:color w:val="000000" w:themeColor="text1"/>
          <w:sz w:val="28"/>
          <w:szCs w:val="28"/>
        </w:rPr>
      </w:pPr>
      <w:r w:rsidRPr="001539D2">
        <w:rPr>
          <w:color w:val="000000" w:themeColor="text1"/>
          <w:sz w:val="28"/>
          <w:szCs w:val="28"/>
        </w:rPr>
        <w:t>Кафедра кардиологии, функциональной диагностики и клинико-лабораторной диагностики ИПО</w:t>
      </w:r>
    </w:p>
    <w:p w14:paraId="27ABB9A7" w14:textId="77777777" w:rsidR="007E64A5" w:rsidRPr="001539D2" w:rsidRDefault="007E64A5" w:rsidP="003840E9">
      <w:pPr>
        <w:ind w:firstLine="709"/>
        <w:jc w:val="center"/>
        <w:rPr>
          <w:color w:val="000000" w:themeColor="text1"/>
          <w:sz w:val="28"/>
          <w:szCs w:val="28"/>
        </w:rPr>
      </w:pPr>
    </w:p>
    <w:p w14:paraId="01FDFF1C" w14:textId="77777777" w:rsidR="007E64A5" w:rsidRPr="001539D2" w:rsidRDefault="007E64A5" w:rsidP="003840E9">
      <w:pPr>
        <w:ind w:firstLine="709"/>
        <w:jc w:val="center"/>
        <w:rPr>
          <w:color w:val="000000" w:themeColor="text1"/>
          <w:sz w:val="28"/>
          <w:szCs w:val="28"/>
        </w:rPr>
      </w:pPr>
    </w:p>
    <w:p w14:paraId="08307492" w14:textId="77777777" w:rsidR="007E64A5" w:rsidRPr="001539D2" w:rsidRDefault="007E64A5" w:rsidP="003840E9">
      <w:pPr>
        <w:ind w:firstLine="709"/>
        <w:jc w:val="center"/>
        <w:rPr>
          <w:color w:val="000000" w:themeColor="text1"/>
          <w:sz w:val="28"/>
          <w:szCs w:val="28"/>
        </w:rPr>
      </w:pPr>
    </w:p>
    <w:p w14:paraId="45F4BCA3" w14:textId="77777777" w:rsidR="007E64A5" w:rsidRPr="001539D2" w:rsidRDefault="007E64A5" w:rsidP="003840E9">
      <w:pPr>
        <w:ind w:firstLine="709"/>
        <w:jc w:val="center"/>
        <w:rPr>
          <w:color w:val="000000" w:themeColor="text1"/>
          <w:sz w:val="28"/>
          <w:szCs w:val="28"/>
        </w:rPr>
      </w:pPr>
    </w:p>
    <w:p w14:paraId="58F5A181" w14:textId="74EDA458" w:rsidR="007E64A5" w:rsidRPr="001539D2" w:rsidRDefault="007E64A5" w:rsidP="003840E9">
      <w:pPr>
        <w:ind w:firstLine="709"/>
        <w:jc w:val="center"/>
        <w:rPr>
          <w:b/>
          <w:color w:val="000000" w:themeColor="text1"/>
          <w:sz w:val="28"/>
          <w:szCs w:val="28"/>
        </w:rPr>
      </w:pPr>
      <w:r w:rsidRPr="001539D2">
        <w:rPr>
          <w:b/>
          <w:color w:val="000000" w:themeColor="text1"/>
          <w:sz w:val="28"/>
          <w:szCs w:val="28"/>
        </w:rPr>
        <w:t>Реферат</w:t>
      </w:r>
    </w:p>
    <w:p w14:paraId="4D2A9046" w14:textId="6DE3491F" w:rsidR="007E64A5" w:rsidRPr="001539D2" w:rsidRDefault="007E64A5" w:rsidP="003840E9">
      <w:pPr>
        <w:ind w:firstLine="709"/>
        <w:jc w:val="center"/>
        <w:rPr>
          <w:color w:val="000000" w:themeColor="text1"/>
          <w:sz w:val="28"/>
          <w:szCs w:val="28"/>
        </w:rPr>
      </w:pPr>
      <w:r w:rsidRPr="001539D2">
        <w:rPr>
          <w:color w:val="000000" w:themeColor="text1"/>
          <w:sz w:val="28"/>
          <w:szCs w:val="28"/>
        </w:rPr>
        <w:t>Тема: «</w:t>
      </w:r>
      <w:r w:rsidR="001A2A06" w:rsidRPr="001539D2">
        <w:rPr>
          <w:color w:val="000000" w:themeColor="text1"/>
          <w:sz w:val="28"/>
          <w:szCs w:val="28"/>
        </w:rPr>
        <w:t>Иммунологическая диагностика опухолевого процесса, опухолевые маркеры</w:t>
      </w:r>
      <w:proofErr w:type="gramStart"/>
      <w:r w:rsidR="001A2A06" w:rsidRPr="001539D2">
        <w:rPr>
          <w:color w:val="000000" w:themeColor="text1"/>
          <w:sz w:val="28"/>
          <w:szCs w:val="28"/>
        </w:rPr>
        <w:t>.</w:t>
      </w:r>
      <w:r w:rsidRPr="001539D2">
        <w:rPr>
          <w:color w:val="000000" w:themeColor="text1"/>
          <w:sz w:val="28"/>
          <w:szCs w:val="28"/>
        </w:rPr>
        <w:t>»</w:t>
      </w:r>
      <w:proofErr w:type="gramEnd"/>
    </w:p>
    <w:p w14:paraId="3E396214" w14:textId="2C501EAE" w:rsidR="00C032F3" w:rsidRPr="001539D2" w:rsidRDefault="00C032F3" w:rsidP="008F4566">
      <w:pPr>
        <w:ind w:firstLine="709"/>
        <w:jc w:val="right"/>
        <w:rPr>
          <w:color w:val="000000" w:themeColor="text1"/>
          <w:sz w:val="28"/>
          <w:szCs w:val="28"/>
        </w:rPr>
      </w:pPr>
    </w:p>
    <w:p w14:paraId="6CBFB74F" w14:textId="77777777" w:rsidR="000C0E30" w:rsidRPr="001539D2" w:rsidRDefault="000C0E30" w:rsidP="008F4566">
      <w:pPr>
        <w:ind w:firstLine="709"/>
        <w:jc w:val="right"/>
        <w:rPr>
          <w:color w:val="000000" w:themeColor="text1"/>
          <w:sz w:val="28"/>
          <w:szCs w:val="28"/>
        </w:rPr>
      </w:pPr>
    </w:p>
    <w:p w14:paraId="160B7A27" w14:textId="77777777" w:rsidR="000C0E30" w:rsidRPr="001539D2" w:rsidRDefault="000C0E30" w:rsidP="008F4566">
      <w:pPr>
        <w:ind w:firstLine="709"/>
        <w:jc w:val="right"/>
        <w:rPr>
          <w:color w:val="000000" w:themeColor="text1"/>
          <w:sz w:val="28"/>
          <w:szCs w:val="28"/>
        </w:rPr>
      </w:pPr>
    </w:p>
    <w:p w14:paraId="18B5D719" w14:textId="1309A46A" w:rsidR="00C032F3" w:rsidRPr="001539D2" w:rsidRDefault="00C032F3" w:rsidP="008F4566">
      <w:pPr>
        <w:ind w:firstLine="709"/>
        <w:jc w:val="right"/>
        <w:rPr>
          <w:color w:val="000000" w:themeColor="text1"/>
          <w:sz w:val="28"/>
          <w:szCs w:val="28"/>
        </w:rPr>
      </w:pPr>
    </w:p>
    <w:p w14:paraId="3A7460AC" w14:textId="77777777" w:rsidR="00C032F3" w:rsidRPr="001539D2" w:rsidRDefault="00C032F3" w:rsidP="003840E9">
      <w:pPr>
        <w:rPr>
          <w:color w:val="000000" w:themeColor="text1"/>
          <w:sz w:val="28"/>
          <w:szCs w:val="28"/>
        </w:rPr>
      </w:pPr>
    </w:p>
    <w:p w14:paraId="1DAD844C" w14:textId="77777777" w:rsidR="00C032F3" w:rsidRPr="001539D2" w:rsidRDefault="00C032F3" w:rsidP="008F4566">
      <w:pPr>
        <w:ind w:firstLine="709"/>
        <w:jc w:val="right"/>
        <w:rPr>
          <w:color w:val="000000" w:themeColor="text1"/>
          <w:sz w:val="28"/>
          <w:szCs w:val="28"/>
        </w:rPr>
      </w:pPr>
    </w:p>
    <w:p w14:paraId="24B91AF9" w14:textId="586D5F69" w:rsidR="00C032F3" w:rsidRPr="001539D2" w:rsidRDefault="00C032F3" w:rsidP="008F4566">
      <w:pPr>
        <w:ind w:firstLine="709"/>
        <w:jc w:val="right"/>
        <w:rPr>
          <w:color w:val="000000" w:themeColor="text1"/>
          <w:sz w:val="28"/>
          <w:szCs w:val="28"/>
        </w:rPr>
      </w:pPr>
      <w:r w:rsidRPr="001539D2">
        <w:rPr>
          <w:color w:val="000000" w:themeColor="text1"/>
          <w:sz w:val="28"/>
          <w:szCs w:val="28"/>
        </w:rPr>
        <w:t xml:space="preserve">                                         Выполнила: </w:t>
      </w:r>
      <w:r w:rsidR="00ED0CE2" w:rsidRPr="001539D2">
        <w:rPr>
          <w:color w:val="000000" w:themeColor="text1"/>
          <w:sz w:val="28"/>
          <w:szCs w:val="28"/>
        </w:rPr>
        <w:t xml:space="preserve">Богданова  Ирина Анатольевна  </w:t>
      </w:r>
    </w:p>
    <w:p w14:paraId="6C4C813F" w14:textId="77777777" w:rsidR="00C032F3" w:rsidRPr="001539D2" w:rsidRDefault="00C032F3" w:rsidP="008F4566">
      <w:pPr>
        <w:ind w:firstLine="709"/>
        <w:jc w:val="right"/>
        <w:rPr>
          <w:color w:val="000000" w:themeColor="text1"/>
          <w:sz w:val="28"/>
          <w:szCs w:val="28"/>
        </w:rPr>
      </w:pPr>
      <w:r w:rsidRPr="001539D2">
        <w:rPr>
          <w:color w:val="000000" w:themeColor="text1"/>
          <w:sz w:val="28"/>
          <w:szCs w:val="28"/>
        </w:rPr>
        <w:t xml:space="preserve">                                         ординатор первого года обучения</w:t>
      </w:r>
    </w:p>
    <w:p w14:paraId="4E072FF8" w14:textId="667CF006" w:rsidR="00C032F3" w:rsidRPr="001539D2" w:rsidRDefault="00C032F3" w:rsidP="008F4566">
      <w:pPr>
        <w:ind w:left="709"/>
        <w:jc w:val="right"/>
        <w:rPr>
          <w:color w:val="000000" w:themeColor="text1"/>
          <w:sz w:val="28"/>
          <w:szCs w:val="28"/>
        </w:rPr>
      </w:pPr>
      <w:r w:rsidRPr="001539D2">
        <w:rPr>
          <w:color w:val="000000" w:themeColor="text1"/>
          <w:sz w:val="28"/>
          <w:szCs w:val="28"/>
        </w:rPr>
        <w:t xml:space="preserve">                                       кафедры </w:t>
      </w:r>
      <w:r w:rsidR="00ED0CE2" w:rsidRPr="001539D2">
        <w:rPr>
          <w:color w:val="000000" w:themeColor="text1"/>
          <w:sz w:val="28"/>
          <w:szCs w:val="28"/>
          <w:shd w:val="clear" w:color="auto" w:fill="FFFFFF"/>
        </w:rPr>
        <w:t xml:space="preserve"> кардиологии, функциональной и клинико-лабораторной диагностики ИПО</w:t>
      </w:r>
    </w:p>
    <w:p w14:paraId="3179E4ED" w14:textId="511B05D6" w:rsidR="00C032F3" w:rsidRPr="001539D2" w:rsidRDefault="00C032F3" w:rsidP="007E64A5">
      <w:pPr>
        <w:ind w:firstLine="709"/>
        <w:jc w:val="right"/>
        <w:rPr>
          <w:color w:val="000000" w:themeColor="text1"/>
          <w:sz w:val="28"/>
          <w:szCs w:val="28"/>
        </w:rPr>
      </w:pPr>
      <w:r w:rsidRPr="001539D2">
        <w:rPr>
          <w:color w:val="000000" w:themeColor="text1"/>
          <w:sz w:val="28"/>
          <w:szCs w:val="28"/>
        </w:rPr>
        <w:t xml:space="preserve">                                         </w:t>
      </w:r>
    </w:p>
    <w:p w14:paraId="25B68924" w14:textId="77777777" w:rsidR="00C032F3" w:rsidRPr="001539D2" w:rsidRDefault="00C032F3" w:rsidP="008F4566">
      <w:pPr>
        <w:ind w:firstLine="709"/>
        <w:jc w:val="right"/>
        <w:rPr>
          <w:color w:val="000000" w:themeColor="text1"/>
          <w:sz w:val="28"/>
          <w:szCs w:val="28"/>
        </w:rPr>
      </w:pPr>
    </w:p>
    <w:p w14:paraId="66B7F574" w14:textId="77777777" w:rsidR="00C032F3" w:rsidRPr="001539D2" w:rsidRDefault="00C032F3" w:rsidP="008F4566">
      <w:pPr>
        <w:ind w:firstLine="709"/>
        <w:jc w:val="right"/>
        <w:rPr>
          <w:color w:val="000000" w:themeColor="text1"/>
          <w:sz w:val="28"/>
          <w:szCs w:val="28"/>
        </w:rPr>
      </w:pPr>
    </w:p>
    <w:p w14:paraId="3A505901" w14:textId="77777777" w:rsidR="00C032F3" w:rsidRPr="001539D2" w:rsidRDefault="00C032F3" w:rsidP="008F4566">
      <w:pPr>
        <w:ind w:firstLine="709"/>
        <w:jc w:val="right"/>
        <w:rPr>
          <w:color w:val="000000" w:themeColor="text1"/>
          <w:sz w:val="28"/>
          <w:szCs w:val="28"/>
        </w:rPr>
      </w:pPr>
    </w:p>
    <w:p w14:paraId="37734A7D" w14:textId="77777777" w:rsidR="00C032F3" w:rsidRPr="001539D2" w:rsidRDefault="00C032F3" w:rsidP="008F4566">
      <w:pPr>
        <w:ind w:firstLine="709"/>
        <w:jc w:val="right"/>
        <w:rPr>
          <w:color w:val="000000" w:themeColor="text1"/>
          <w:sz w:val="28"/>
          <w:szCs w:val="28"/>
        </w:rPr>
      </w:pPr>
    </w:p>
    <w:p w14:paraId="62110C6A" w14:textId="77777777" w:rsidR="00ED0CE2" w:rsidRPr="001539D2" w:rsidRDefault="00ED0CE2" w:rsidP="008F4566">
      <w:pPr>
        <w:ind w:firstLine="709"/>
        <w:jc w:val="right"/>
        <w:rPr>
          <w:color w:val="000000" w:themeColor="text1"/>
          <w:sz w:val="28"/>
          <w:szCs w:val="28"/>
        </w:rPr>
      </w:pPr>
    </w:p>
    <w:p w14:paraId="43163079" w14:textId="77777777" w:rsidR="00ED0CE2" w:rsidRPr="001539D2" w:rsidRDefault="00ED0CE2" w:rsidP="008F4566">
      <w:pPr>
        <w:ind w:firstLine="709"/>
        <w:jc w:val="right"/>
        <w:rPr>
          <w:color w:val="000000" w:themeColor="text1"/>
          <w:sz w:val="28"/>
          <w:szCs w:val="28"/>
        </w:rPr>
      </w:pPr>
    </w:p>
    <w:p w14:paraId="454E765C" w14:textId="77777777" w:rsidR="00ED0CE2" w:rsidRPr="001539D2" w:rsidRDefault="00ED0CE2" w:rsidP="008F4566">
      <w:pPr>
        <w:ind w:firstLine="709"/>
        <w:jc w:val="right"/>
        <w:rPr>
          <w:color w:val="000000" w:themeColor="text1"/>
          <w:sz w:val="28"/>
          <w:szCs w:val="28"/>
        </w:rPr>
      </w:pPr>
    </w:p>
    <w:p w14:paraId="6E1F908B" w14:textId="77777777" w:rsidR="00ED0CE2" w:rsidRPr="001539D2" w:rsidRDefault="00ED0CE2" w:rsidP="008F4566">
      <w:pPr>
        <w:ind w:firstLine="709"/>
        <w:jc w:val="right"/>
        <w:rPr>
          <w:color w:val="000000" w:themeColor="text1"/>
          <w:sz w:val="28"/>
          <w:szCs w:val="28"/>
        </w:rPr>
      </w:pPr>
    </w:p>
    <w:p w14:paraId="4BF91EA1" w14:textId="77777777" w:rsidR="00ED0CE2" w:rsidRPr="001539D2" w:rsidRDefault="00ED0CE2" w:rsidP="008F4566">
      <w:pPr>
        <w:ind w:firstLine="709"/>
        <w:jc w:val="right"/>
        <w:rPr>
          <w:color w:val="000000" w:themeColor="text1"/>
          <w:sz w:val="28"/>
          <w:szCs w:val="28"/>
        </w:rPr>
      </w:pPr>
    </w:p>
    <w:p w14:paraId="2F18E353" w14:textId="77777777" w:rsidR="00ED0CE2" w:rsidRPr="001539D2" w:rsidRDefault="00ED0CE2" w:rsidP="008F4566">
      <w:pPr>
        <w:ind w:firstLine="709"/>
        <w:jc w:val="right"/>
        <w:rPr>
          <w:color w:val="000000" w:themeColor="text1"/>
          <w:sz w:val="28"/>
          <w:szCs w:val="28"/>
        </w:rPr>
      </w:pPr>
    </w:p>
    <w:p w14:paraId="68D5C303" w14:textId="77777777" w:rsidR="00ED0CE2" w:rsidRPr="001539D2" w:rsidRDefault="00ED0CE2" w:rsidP="008F4566">
      <w:pPr>
        <w:ind w:firstLine="709"/>
        <w:jc w:val="right"/>
        <w:rPr>
          <w:color w:val="000000" w:themeColor="text1"/>
          <w:sz w:val="28"/>
          <w:szCs w:val="28"/>
        </w:rPr>
      </w:pPr>
    </w:p>
    <w:p w14:paraId="6BA73E73" w14:textId="77777777" w:rsidR="00ED0CE2" w:rsidRPr="001539D2" w:rsidRDefault="00ED0CE2" w:rsidP="008F4566">
      <w:pPr>
        <w:ind w:firstLine="709"/>
        <w:jc w:val="right"/>
        <w:rPr>
          <w:color w:val="000000" w:themeColor="text1"/>
          <w:sz w:val="28"/>
          <w:szCs w:val="28"/>
        </w:rPr>
      </w:pPr>
    </w:p>
    <w:p w14:paraId="14BBB072" w14:textId="77777777" w:rsidR="007E64A5" w:rsidRPr="001539D2" w:rsidRDefault="007E64A5" w:rsidP="00011B66">
      <w:pPr>
        <w:rPr>
          <w:color w:val="000000" w:themeColor="text1"/>
          <w:sz w:val="28"/>
          <w:szCs w:val="28"/>
        </w:rPr>
      </w:pPr>
    </w:p>
    <w:p w14:paraId="7F6CC6BF" w14:textId="77777777" w:rsidR="007E64A5" w:rsidRPr="001539D2" w:rsidRDefault="007E64A5" w:rsidP="008F4566">
      <w:pPr>
        <w:ind w:firstLine="709"/>
        <w:jc w:val="right"/>
        <w:rPr>
          <w:color w:val="000000" w:themeColor="text1"/>
          <w:sz w:val="28"/>
          <w:szCs w:val="28"/>
        </w:rPr>
      </w:pPr>
    </w:p>
    <w:p w14:paraId="01C0B057" w14:textId="77777777" w:rsidR="00C032F3" w:rsidRPr="001539D2" w:rsidRDefault="00C032F3" w:rsidP="008F4566">
      <w:pPr>
        <w:ind w:firstLine="709"/>
        <w:jc w:val="right"/>
        <w:rPr>
          <w:color w:val="000000" w:themeColor="text1"/>
          <w:sz w:val="28"/>
          <w:szCs w:val="28"/>
        </w:rPr>
      </w:pPr>
    </w:p>
    <w:p w14:paraId="5FE81CEA" w14:textId="1A730826" w:rsidR="003840E9" w:rsidRPr="001539D2" w:rsidRDefault="00C032F3" w:rsidP="000C0E30">
      <w:pPr>
        <w:jc w:val="center"/>
        <w:rPr>
          <w:color w:val="000000" w:themeColor="text1"/>
          <w:sz w:val="28"/>
          <w:szCs w:val="28"/>
        </w:rPr>
      </w:pPr>
      <w:r w:rsidRPr="001539D2">
        <w:rPr>
          <w:color w:val="000000" w:themeColor="text1"/>
          <w:sz w:val="28"/>
          <w:szCs w:val="28"/>
        </w:rPr>
        <w:t>Красноярск  202</w:t>
      </w:r>
      <w:r w:rsidR="001A2A06" w:rsidRPr="001539D2">
        <w:rPr>
          <w:color w:val="000000" w:themeColor="text1"/>
          <w:sz w:val="28"/>
          <w:szCs w:val="28"/>
        </w:rPr>
        <w:t>3</w:t>
      </w:r>
      <w:r w:rsidRPr="001539D2">
        <w:rPr>
          <w:color w:val="000000" w:themeColor="text1"/>
          <w:sz w:val="28"/>
          <w:szCs w:val="28"/>
        </w:rPr>
        <w:t xml:space="preserve"> г</w:t>
      </w:r>
    </w:p>
    <w:p w14:paraId="35FC4C72" w14:textId="77777777" w:rsidR="00011B66" w:rsidRPr="001539D2" w:rsidRDefault="00011B66" w:rsidP="000C0E30">
      <w:pPr>
        <w:jc w:val="center"/>
        <w:rPr>
          <w:color w:val="000000" w:themeColor="text1"/>
          <w:sz w:val="28"/>
          <w:szCs w:val="28"/>
        </w:rPr>
      </w:pPr>
    </w:p>
    <w:p w14:paraId="226E3888" w14:textId="4DAA7A6A" w:rsidR="0018777F" w:rsidRPr="001539D2" w:rsidRDefault="007E64A5" w:rsidP="00FE209F">
      <w:pPr>
        <w:jc w:val="both"/>
        <w:rPr>
          <w:b/>
          <w:i/>
          <w:sz w:val="28"/>
          <w:szCs w:val="28"/>
        </w:rPr>
      </w:pPr>
      <w:r w:rsidRPr="001539D2">
        <w:rPr>
          <w:b/>
          <w:bCs/>
          <w:i/>
          <w:color w:val="000000" w:themeColor="text1"/>
          <w:sz w:val="28"/>
          <w:szCs w:val="28"/>
        </w:rPr>
        <w:lastRenderedPageBreak/>
        <w:t>Содержание:</w:t>
      </w:r>
    </w:p>
    <w:p w14:paraId="6FF9CF8E" w14:textId="239967A8" w:rsidR="00FE209F" w:rsidRPr="001539D2" w:rsidRDefault="00FE209F" w:rsidP="00FE209F">
      <w:pPr>
        <w:jc w:val="both"/>
        <w:rPr>
          <w:b/>
          <w:bCs/>
          <w:color w:val="000000" w:themeColor="text1"/>
          <w:sz w:val="28"/>
          <w:szCs w:val="28"/>
        </w:rPr>
      </w:pPr>
      <w:r w:rsidRPr="001539D2">
        <w:rPr>
          <w:b/>
          <w:sz w:val="28"/>
          <w:szCs w:val="28"/>
        </w:rPr>
        <w:t>Введение</w:t>
      </w:r>
      <w:r w:rsidR="00011B66" w:rsidRPr="001539D2">
        <w:rPr>
          <w:b/>
          <w:sz w:val="28"/>
          <w:szCs w:val="28"/>
        </w:rPr>
        <w:t xml:space="preserve"> </w:t>
      </w:r>
    </w:p>
    <w:p w14:paraId="48AF83F8" w14:textId="6548E4E8" w:rsidR="0018777F" w:rsidRPr="001539D2" w:rsidRDefault="00FE209F" w:rsidP="001539D2">
      <w:pPr>
        <w:jc w:val="both"/>
        <w:rPr>
          <w:sz w:val="28"/>
          <w:szCs w:val="28"/>
        </w:rPr>
      </w:pPr>
      <w:r w:rsidRPr="001539D2">
        <w:rPr>
          <w:sz w:val="28"/>
          <w:szCs w:val="28"/>
        </w:rPr>
        <w:t>1.</w:t>
      </w:r>
      <w:r w:rsidR="001539D2">
        <w:rPr>
          <w:sz w:val="28"/>
          <w:szCs w:val="28"/>
        </w:rPr>
        <w:t>Иммуннотерапия опухолей</w:t>
      </w:r>
    </w:p>
    <w:p w14:paraId="42044B05" w14:textId="5A08E787" w:rsidR="00011B66" w:rsidRPr="001539D2" w:rsidRDefault="00FE209F" w:rsidP="008F4566">
      <w:pPr>
        <w:jc w:val="both"/>
        <w:rPr>
          <w:sz w:val="28"/>
          <w:szCs w:val="28"/>
        </w:rPr>
      </w:pPr>
      <w:r w:rsidRPr="001539D2">
        <w:rPr>
          <w:sz w:val="28"/>
          <w:szCs w:val="28"/>
        </w:rPr>
        <w:t xml:space="preserve">2. </w:t>
      </w:r>
      <w:r w:rsidR="008C11BF" w:rsidRPr="008C11BF">
        <w:rPr>
          <w:sz w:val="28"/>
          <w:szCs w:val="28"/>
        </w:rPr>
        <w:t>Возможности усиления противоопухолевых реакций Т-клеток</w:t>
      </w:r>
    </w:p>
    <w:p w14:paraId="7BAE7439" w14:textId="333BFDDA" w:rsidR="00011B66" w:rsidRPr="001539D2" w:rsidRDefault="00FE209F" w:rsidP="008F4566">
      <w:pPr>
        <w:jc w:val="both"/>
        <w:rPr>
          <w:sz w:val="28"/>
          <w:szCs w:val="28"/>
        </w:rPr>
      </w:pPr>
      <w:r w:rsidRPr="001539D2">
        <w:rPr>
          <w:sz w:val="28"/>
          <w:szCs w:val="28"/>
        </w:rPr>
        <w:t>3.</w:t>
      </w:r>
      <w:r w:rsidR="008C11BF">
        <w:rPr>
          <w:sz w:val="28"/>
          <w:szCs w:val="28"/>
        </w:rPr>
        <w:t>Иммунодиагностика опухолей</w:t>
      </w:r>
      <w:r w:rsidR="0018777F" w:rsidRPr="001539D2">
        <w:rPr>
          <w:sz w:val="28"/>
          <w:szCs w:val="28"/>
        </w:rPr>
        <w:t xml:space="preserve"> </w:t>
      </w:r>
    </w:p>
    <w:p w14:paraId="3C21488C" w14:textId="3449BE37" w:rsidR="007E64A5" w:rsidRPr="001539D2" w:rsidRDefault="00FE209F" w:rsidP="008F4566">
      <w:pPr>
        <w:jc w:val="both"/>
        <w:rPr>
          <w:sz w:val="28"/>
          <w:szCs w:val="28"/>
        </w:rPr>
      </w:pPr>
      <w:r w:rsidRPr="001539D2">
        <w:rPr>
          <w:sz w:val="28"/>
          <w:szCs w:val="28"/>
        </w:rPr>
        <w:t xml:space="preserve">4. </w:t>
      </w:r>
      <w:r w:rsidR="008C11BF" w:rsidRPr="008C11BF">
        <w:rPr>
          <w:sz w:val="28"/>
          <w:szCs w:val="28"/>
        </w:rPr>
        <w:t xml:space="preserve">Опухолевые маркеры как </w:t>
      </w:r>
      <w:proofErr w:type="spellStart"/>
      <w:r w:rsidR="008C11BF" w:rsidRPr="008C11BF">
        <w:rPr>
          <w:sz w:val="28"/>
          <w:szCs w:val="28"/>
        </w:rPr>
        <w:t>дифференцировочные</w:t>
      </w:r>
      <w:proofErr w:type="spellEnd"/>
      <w:r w:rsidR="008C11BF" w:rsidRPr="008C11BF">
        <w:rPr>
          <w:sz w:val="28"/>
          <w:szCs w:val="28"/>
        </w:rPr>
        <w:t xml:space="preserve"> антигены</w:t>
      </w:r>
      <w:bookmarkStart w:id="0" w:name="_GoBack"/>
      <w:bookmarkEnd w:id="0"/>
    </w:p>
    <w:p w14:paraId="4A0D015B" w14:textId="77777777" w:rsidR="00FE209F" w:rsidRPr="001539D2" w:rsidRDefault="00FE209F" w:rsidP="008F4566">
      <w:pPr>
        <w:jc w:val="both"/>
        <w:rPr>
          <w:b/>
          <w:bCs/>
          <w:color w:val="000000" w:themeColor="text1"/>
          <w:sz w:val="28"/>
          <w:szCs w:val="28"/>
        </w:rPr>
      </w:pPr>
    </w:p>
    <w:p w14:paraId="0194E04A" w14:textId="77777777" w:rsidR="00795B07" w:rsidRPr="001539D2" w:rsidRDefault="00795B07" w:rsidP="008F4566">
      <w:pPr>
        <w:jc w:val="both"/>
        <w:rPr>
          <w:b/>
          <w:bCs/>
          <w:color w:val="000000" w:themeColor="text1"/>
          <w:sz w:val="28"/>
          <w:szCs w:val="28"/>
        </w:rPr>
      </w:pPr>
    </w:p>
    <w:p w14:paraId="476D29C2" w14:textId="77777777" w:rsidR="00795B07" w:rsidRPr="001539D2" w:rsidRDefault="00795B07" w:rsidP="008F4566">
      <w:pPr>
        <w:jc w:val="both"/>
        <w:rPr>
          <w:b/>
          <w:bCs/>
          <w:color w:val="000000" w:themeColor="text1"/>
          <w:sz w:val="28"/>
          <w:szCs w:val="28"/>
        </w:rPr>
      </w:pPr>
    </w:p>
    <w:p w14:paraId="41E7DE21" w14:textId="77777777" w:rsidR="00795B07" w:rsidRPr="001539D2" w:rsidRDefault="00795B07" w:rsidP="008F4566">
      <w:pPr>
        <w:jc w:val="both"/>
        <w:rPr>
          <w:b/>
          <w:bCs/>
          <w:color w:val="000000" w:themeColor="text1"/>
          <w:sz w:val="28"/>
          <w:szCs w:val="28"/>
        </w:rPr>
      </w:pPr>
    </w:p>
    <w:p w14:paraId="77417772" w14:textId="77777777" w:rsidR="00795B07" w:rsidRPr="001539D2" w:rsidRDefault="00795B07" w:rsidP="008F4566">
      <w:pPr>
        <w:jc w:val="both"/>
        <w:rPr>
          <w:b/>
          <w:bCs/>
          <w:color w:val="000000" w:themeColor="text1"/>
          <w:sz w:val="28"/>
          <w:szCs w:val="28"/>
        </w:rPr>
      </w:pPr>
    </w:p>
    <w:p w14:paraId="259039FD" w14:textId="77777777" w:rsidR="00795B07" w:rsidRPr="001539D2" w:rsidRDefault="00795B07" w:rsidP="008F4566">
      <w:pPr>
        <w:jc w:val="both"/>
        <w:rPr>
          <w:b/>
          <w:bCs/>
          <w:color w:val="000000" w:themeColor="text1"/>
          <w:sz w:val="28"/>
          <w:szCs w:val="28"/>
        </w:rPr>
      </w:pPr>
    </w:p>
    <w:p w14:paraId="047C73D3" w14:textId="77777777" w:rsidR="00795B07" w:rsidRPr="001539D2" w:rsidRDefault="00795B07" w:rsidP="008F4566">
      <w:pPr>
        <w:jc w:val="both"/>
        <w:rPr>
          <w:b/>
          <w:bCs/>
          <w:color w:val="000000" w:themeColor="text1"/>
          <w:sz w:val="28"/>
          <w:szCs w:val="28"/>
        </w:rPr>
      </w:pPr>
    </w:p>
    <w:p w14:paraId="35740B58" w14:textId="77777777" w:rsidR="00795B07" w:rsidRPr="001539D2" w:rsidRDefault="00795B07" w:rsidP="008F4566">
      <w:pPr>
        <w:jc w:val="both"/>
        <w:rPr>
          <w:b/>
          <w:bCs/>
          <w:color w:val="000000" w:themeColor="text1"/>
          <w:sz w:val="28"/>
          <w:szCs w:val="28"/>
        </w:rPr>
      </w:pPr>
    </w:p>
    <w:p w14:paraId="3FE3F075" w14:textId="77777777" w:rsidR="00795B07" w:rsidRPr="001539D2" w:rsidRDefault="00795B07" w:rsidP="008F4566">
      <w:pPr>
        <w:jc w:val="both"/>
        <w:rPr>
          <w:b/>
          <w:bCs/>
          <w:color w:val="000000" w:themeColor="text1"/>
          <w:sz w:val="28"/>
          <w:szCs w:val="28"/>
        </w:rPr>
      </w:pPr>
    </w:p>
    <w:p w14:paraId="268C88E7" w14:textId="77777777" w:rsidR="00795B07" w:rsidRPr="001539D2" w:rsidRDefault="00795B07" w:rsidP="008F4566">
      <w:pPr>
        <w:jc w:val="both"/>
        <w:rPr>
          <w:b/>
          <w:bCs/>
          <w:color w:val="000000" w:themeColor="text1"/>
          <w:sz w:val="28"/>
          <w:szCs w:val="28"/>
        </w:rPr>
      </w:pPr>
    </w:p>
    <w:p w14:paraId="786CDBEF" w14:textId="77777777" w:rsidR="00795B07" w:rsidRPr="001539D2" w:rsidRDefault="00795B07" w:rsidP="008F4566">
      <w:pPr>
        <w:jc w:val="both"/>
        <w:rPr>
          <w:b/>
          <w:bCs/>
          <w:color w:val="000000" w:themeColor="text1"/>
          <w:sz w:val="28"/>
          <w:szCs w:val="28"/>
        </w:rPr>
      </w:pPr>
    </w:p>
    <w:p w14:paraId="033E4DC0" w14:textId="77777777" w:rsidR="00795B07" w:rsidRPr="001539D2" w:rsidRDefault="00795B07" w:rsidP="008F4566">
      <w:pPr>
        <w:jc w:val="both"/>
        <w:rPr>
          <w:b/>
          <w:bCs/>
          <w:color w:val="000000" w:themeColor="text1"/>
          <w:sz w:val="28"/>
          <w:szCs w:val="28"/>
        </w:rPr>
      </w:pPr>
    </w:p>
    <w:p w14:paraId="08395DD9" w14:textId="77777777" w:rsidR="00795B07" w:rsidRPr="001539D2" w:rsidRDefault="00795B07" w:rsidP="008F4566">
      <w:pPr>
        <w:jc w:val="both"/>
        <w:rPr>
          <w:b/>
          <w:bCs/>
          <w:color w:val="000000" w:themeColor="text1"/>
          <w:sz w:val="28"/>
          <w:szCs w:val="28"/>
        </w:rPr>
      </w:pPr>
    </w:p>
    <w:p w14:paraId="1BD20FEC" w14:textId="77777777" w:rsidR="00795B07" w:rsidRPr="001539D2" w:rsidRDefault="00795B07" w:rsidP="008F4566">
      <w:pPr>
        <w:jc w:val="both"/>
        <w:rPr>
          <w:b/>
          <w:bCs/>
          <w:color w:val="000000" w:themeColor="text1"/>
          <w:sz w:val="28"/>
          <w:szCs w:val="28"/>
        </w:rPr>
      </w:pPr>
    </w:p>
    <w:p w14:paraId="64B9A325" w14:textId="77777777" w:rsidR="00795B07" w:rsidRPr="001539D2" w:rsidRDefault="00795B07" w:rsidP="008F4566">
      <w:pPr>
        <w:jc w:val="both"/>
        <w:rPr>
          <w:b/>
          <w:bCs/>
          <w:color w:val="000000" w:themeColor="text1"/>
          <w:sz w:val="28"/>
          <w:szCs w:val="28"/>
        </w:rPr>
      </w:pPr>
    </w:p>
    <w:p w14:paraId="40B4ABE7" w14:textId="77777777" w:rsidR="00795B07" w:rsidRPr="001539D2" w:rsidRDefault="00795B07" w:rsidP="008F4566">
      <w:pPr>
        <w:jc w:val="both"/>
        <w:rPr>
          <w:b/>
          <w:bCs/>
          <w:color w:val="000000" w:themeColor="text1"/>
          <w:sz w:val="28"/>
          <w:szCs w:val="28"/>
        </w:rPr>
      </w:pPr>
    </w:p>
    <w:p w14:paraId="6E339CD3" w14:textId="77777777" w:rsidR="00795B07" w:rsidRPr="001539D2" w:rsidRDefault="00795B07" w:rsidP="008F4566">
      <w:pPr>
        <w:jc w:val="both"/>
        <w:rPr>
          <w:b/>
          <w:bCs/>
          <w:color w:val="000000" w:themeColor="text1"/>
          <w:sz w:val="28"/>
          <w:szCs w:val="28"/>
        </w:rPr>
      </w:pPr>
    </w:p>
    <w:p w14:paraId="38F48612" w14:textId="77777777" w:rsidR="0018777F" w:rsidRPr="001539D2" w:rsidRDefault="0018777F" w:rsidP="008F4566">
      <w:pPr>
        <w:jc w:val="both"/>
        <w:rPr>
          <w:b/>
          <w:bCs/>
          <w:color w:val="000000" w:themeColor="text1"/>
          <w:sz w:val="28"/>
          <w:szCs w:val="28"/>
        </w:rPr>
      </w:pPr>
    </w:p>
    <w:p w14:paraId="17C82B3F" w14:textId="77777777" w:rsidR="0018777F" w:rsidRPr="001539D2" w:rsidRDefault="0018777F" w:rsidP="008F4566">
      <w:pPr>
        <w:jc w:val="both"/>
        <w:rPr>
          <w:b/>
          <w:bCs/>
          <w:color w:val="000000" w:themeColor="text1"/>
          <w:sz w:val="28"/>
          <w:szCs w:val="28"/>
        </w:rPr>
      </w:pPr>
    </w:p>
    <w:p w14:paraId="752FC708" w14:textId="77777777" w:rsidR="0018777F" w:rsidRPr="001539D2" w:rsidRDefault="0018777F" w:rsidP="008F4566">
      <w:pPr>
        <w:jc w:val="both"/>
        <w:rPr>
          <w:b/>
          <w:bCs/>
          <w:color w:val="000000" w:themeColor="text1"/>
          <w:sz w:val="28"/>
          <w:szCs w:val="28"/>
        </w:rPr>
      </w:pPr>
    </w:p>
    <w:p w14:paraId="44F3721F" w14:textId="77777777" w:rsidR="0018777F" w:rsidRPr="001539D2" w:rsidRDefault="0018777F" w:rsidP="008F4566">
      <w:pPr>
        <w:jc w:val="both"/>
        <w:rPr>
          <w:b/>
          <w:bCs/>
          <w:color w:val="000000" w:themeColor="text1"/>
          <w:sz w:val="28"/>
          <w:szCs w:val="28"/>
        </w:rPr>
      </w:pPr>
    </w:p>
    <w:p w14:paraId="4A6DDE9C" w14:textId="77777777" w:rsidR="0018777F" w:rsidRPr="001539D2" w:rsidRDefault="0018777F" w:rsidP="008F4566">
      <w:pPr>
        <w:jc w:val="both"/>
        <w:rPr>
          <w:b/>
          <w:bCs/>
          <w:color w:val="000000" w:themeColor="text1"/>
          <w:sz w:val="28"/>
          <w:szCs w:val="28"/>
        </w:rPr>
      </w:pPr>
    </w:p>
    <w:p w14:paraId="7401EE38" w14:textId="77777777" w:rsidR="0018777F" w:rsidRPr="001539D2" w:rsidRDefault="0018777F" w:rsidP="008F4566">
      <w:pPr>
        <w:jc w:val="both"/>
        <w:rPr>
          <w:b/>
          <w:bCs/>
          <w:color w:val="000000" w:themeColor="text1"/>
          <w:sz w:val="28"/>
          <w:szCs w:val="28"/>
        </w:rPr>
      </w:pPr>
    </w:p>
    <w:p w14:paraId="4F2A5A31" w14:textId="77777777" w:rsidR="00011B66" w:rsidRPr="001539D2" w:rsidRDefault="00011B66" w:rsidP="008F4566">
      <w:pPr>
        <w:jc w:val="both"/>
        <w:rPr>
          <w:b/>
          <w:bCs/>
          <w:color w:val="000000" w:themeColor="text1"/>
          <w:sz w:val="28"/>
          <w:szCs w:val="28"/>
        </w:rPr>
      </w:pPr>
    </w:p>
    <w:p w14:paraId="091CDB99" w14:textId="77777777" w:rsidR="0018777F" w:rsidRPr="001539D2" w:rsidRDefault="0018777F" w:rsidP="008F4566">
      <w:pPr>
        <w:jc w:val="both"/>
        <w:rPr>
          <w:b/>
          <w:bCs/>
          <w:color w:val="000000" w:themeColor="text1"/>
          <w:sz w:val="28"/>
          <w:szCs w:val="28"/>
        </w:rPr>
      </w:pPr>
    </w:p>
    <w:p w14:paraId="33213CCC" w14:textId="77777777" w:rsidR="0018777F" w:rsidRPr="001539D2" w:rsidRDefault="0018777F" w:rsidP="008F4566">
      <w:pPr>
        <w:jc w:val="both"/>
        <w:rPr>
          <w:b/>
          <w:bCs/>
          <w:color w:val="000000" w:themeColor="text1"/>
          <w:sz w:val="28"/>
          <w:szCs w:val="28"/>
        </w:rPr>
      </w:pPr>
    </w:p>
    <w:p w14:paraId="1D262B23" w14:textId="77777777" w:rsidR="0018777F" w:rsidRPr="001539D2" w:rsidRDefault="0018777F" w:rsidP="008F4566">
      <w:pPr>
        <w:jc w:val="both"/>
        <w:rPr>
          <w:b/>
          <w:bCs/>
          <w:color w:val="000000" w:themeColor="text1"/>
          <w:sz w:val="28"/>
          <w:szCs w:val="28"/>
        </w:rPr>
      </w:pPr>
    </w:p>
    <w:p w14:paraId="5C51AD10" w14:textId="77777777" w:rsidR="0018777F" w:rsidRPr="001539D2" w:rsidRDefault="0018777F" w:rsidP="008F4566">
      <w:pPr>
        <w:jc w:val="both"/>
        <w:rPr>
          <w:b/>
          <w:bCs/>
          <w:color w:val="000000" w:themeColor="text1"/>
          <w:sz w:val="28"/>
          <w:szCs w:val="28"/>
        </w:rPr>
      </w:pPr>
    </w:p>
    <w:p w14:paraId="3004FDAF" w14:textId="77777777" w:rsidR="00795B07" w:rsidRPr="001539D2" w:rsidRDefault="00795B07" w:rsidP="008F4566">
      <w:pPr>
        <w:jc w:val="both"/>
        <w:rPr>
          <w:b/>
          <w:bCs/>
          <w:color w:val="000000" w:themeColor="text1"/>
          <w:sz w:val="28"/>
          <w:szCs w:val="28"/>
        </w:rPr>
      </w:pPr>
    </w:p>
    <w:p w14:paraId="62024FEB" w14:textId="77777777" w:rsidR="001539D2" w:rsidRDefault="001539D2" w:rsidP="001A2A06">
      <w:pPr>
        <w:jc w:val="center"/>
        <w:rPr>
          <w:b/>
          <w:sz w:val="28"/>
          <w:szCs w:val="28"/>
        </w:rPr>
      </w:pPr>
    </w:p>
    <w:p w14:paraId="792FDCEF" w14:textId="77777777" w:rsidR="001539D2" w:rsidRDefault="001539D2" w:rsidP="001A2A06">
      <w:pPr>
        <w:jc w:val="center"/>
        <w:rPr>
          <w:b/>
          <w:sz w:val="28"/>
          <w:szCs w:val="28"/>
        </w:rPr>
      </w:pPr>
    </w:p>
    <w:p w14:paraId="3C3BC8CA" w14:textId="77777777" w:rsidR="001539D2" w:rsidRDefault="001539D2" w:rsidP="001A2A06">
      <w:pPr>
        <w:jc w:val="center"/>
        <w:rPr>
          <w:b/>
          <w:sz w:val="28"/>
          <w:szCs w:val="28"/>
        </w:rPr>
      </w:pPr>
    </w:p>
    <w:p w14:paraId="5C92D2E9" w14:textId="77777777" w:rsidR="001539D2" w:rsidRDefault="001539D2" w:rsidP="001A2A06">
      <w:pPr>
        <w:jc w:val="center"/>
        <w:rPr>
          <w:b/>
          <w:sz w:val="28"/>
          <w:szCs w:val="28"/>
        </w:rPr>
      </w:pPr>
    </w:p>
    <w:p w14:paraId="07B21335" w14:textId="77777777" w:rsidR="001539D2" w:rsidRDefault="001539D2" w:rsidP="001A2A06">
      <w:pPr>
        <w:jc w:val="center"/>
        <w:rPr>
          <w:b/>
          <w:sz w:val="28"/>
          <w:szCs w:val="28"/>
        </w:rPr>
      </w:pPr>
    </w:p>
    <w:p w14:paraId="55979492" w14:textId="77777777" w:rsidR="001539D2" w:rsidRDefault="001539D2" w:rsidP="001A2A06">
      <w:pPr>
        <w:jc w:val="center"/>
        <w:rPr>
          <w:b/>
          <w:sz w:val="28"/>
          <w:szCs w:val="28"/>
        </w:rPr>
      </w:pPr>
    </w:p>
    <w:p w14:paraId="332B8759" w14:textId="77777777" w:rsidR="001539D2" w:rsidRDefault="001539D2" w:rsidP="001A2A06">
      <w:pPr>
        <w:jc w:val="center"/>
        <w:rPr>
          <w:b/>
          <w:sz w:val="28"/>
          <w:szCs w:val="28"/>
        </w:rPr>
      </w:pPr>
    </w:p>
    <w:p w14:paraId="27F420CC" w14:textId="77777777" w:rsidR="001539D2" w:rsidRDefault="001539D2" w:rsidP="001A2A06">
      <w:pPr>
        <w:jc w:val="center"/>
        <w:rPr>
          <w:b/>
          <w:sz w:val="28"/>
          <w:szCs w:val="28"/>
        </w:rPr>
      </w:pPr>
    </w:p>
    <w:p w14:paraId="1F86753B" w14:textId="77777777" w:rsidR="008C11BF" w:rsidRDefault="008C11BF" w:rsidP="001A2A06">
      <w:pPr>
        <w:jc w:val="center"/>
        <w:rPr>
          <w:b/>
          <w:sz w:val="28"/>
          <w:szCs w:val="28"/>
        </w:rPr>
      </w:pPr>
    </w:p>
    <w:p w14:paraId="044C1488" w14:textId="77777777" w:rsidR="008C11BF" w:rsidRDefault="008C11BF" w:rsidP="001A2A06">
      <w:pPr>
        <w:jc w:val="center"/>
        <w:rPr>
          <w:b/>
          <w:sz w:val="28"/>
          <w:szCs w:val="28"/>
        </w:rPr>
      </w:pPr>
    </w:p>
    <w:p w14:paraId="71D146D7" w14:textId="47194A5D" w:rsidR="001A2A06" w:rsidRPr="001539D2" w:rsidRDefault="001A2A06" w:rsidP="001A2A06">
      <w:pPr>
        <w:jc w:val="center"/>
        <w:rPr>
          <w:b/>
          <w:sz w:val="28"/>
          <w:szCs w:val="28"/>
        </w:rPr>
      </w:pPr>
      <w:r w:rsidRPr="001539D2">
        <w:rPr>
          <w:b/>
          <w:sz w:val="28"/>
          <w:szCs w:val="28"/>
        </w:rPr>
        <w:lastRenderedPageBreak/>
        <w:t>ИММУНОТЕРАПИЯ ОПУХОЛЕЙ</w:t>
      </w:r>
    </w:p>
    <w:p w14:paraId="4666BCA2" w14:textId="77777777" w:rsidR="001A2A06" w:rsidRPr="001539D2" w:rsidRDefault="001A2A06" w:rsidP="001A2A06">
      <w:pPr>
        <w:jc w:val="center"/>
        <w:rPr>
          <w:b/>
          <w:sz w:val="28"/>
          <w:szCs w:val="28"/>
        </w:rPr>
      </w:pPr>
    </w:p>
    <w:p w14:paraId="4A84FFDC" w14:textId="74B535B4" w:rsidR="00795B07" w:rsidRPr="001539D2" w:rsidRDefault="001A2A06" w:rsidP="008F4566">
      <w:pPr>
        <w:jc w:val="both"/>
        <w:rPr>
          <w:sz w:val="28"/>
          <w:szCs w:val="28"/>
        </w:rPr>
      </w:pPr>
      <w:r w:rsidRPr="001539D2">
        <w:rPr>
          <w:sz w:val="28"/>
          <w:szCs w:val="28"/>
        </w:rPr>
        <w:t xml:space="preserve">Это направление в </w:t>
      </w:r>
      <w:proofErr w:type="spellStart"/>
      <w:r w:rsidRPr="001539D2">
        <w:rPr>
          <w:sz w:val="28"/>
          <w:szCs w:val="28"/>
        </w:rPr>
        <w:t>иммуноонкологии</w:t>
      </w:r>
      <w:proofErr w:type="spellEnd"/>
      <w:r w:rsidRPr="001539D2">
        <w:rPr>
          <w:sz w:val="28"/>
          <w:szCs w:val="28"/>
        </w:rPr>
        <w:t xml:space="preserve"> по праву связывается с именем американского ученого Розенберга, который впервые использовал введение </w:t>
      </w:r>
      <w:proofErr w:type="spellStart"/>
      <w:r w:rsidRPr="001539D2">
        <w:rPr>
          <w:sz w:val="28"/>
          <w:szCs w:val="28"/>
        </w:rPr>
        <w:t>интерлейкина</w:t>
      </w:r>
      <w:proofErr w:type="spellEnd"/>
      <w:r w:rsidRPr="001539D2">
        <w:rPr>
          <w:sz w:val="28"/>
          <w:szCs w:val="28"/>
        </w:rPr>
        <w:t xml:space="preserve"> 2 больным для лечения опухолевой болезни. В настоящее время в этом направлении достигнуты определенные успехи; используются следующие варианты подхода к иммунотерапии опухолей: 1. Использование цитокинов: а) </w:t>
      </w:r>
      <w:proofErr w:type="spellStart"/>
      <w:r w:rsidRPr="001539D2">
        <w:rPr>
          <w:sz w:val="28"/>
          <w:szCs w:val="28"/>
        </w:rPr>
        <w:t>интерлейкина</w:t>
      </w:r>
      <w:proofErr w:type="spellEnd"/>
      <w:r w:rsidRPr="001539D2">
        <w:rPr>
          <w:sz w:val="28"/>
          <w:szCs w:val="28"/>
        </w:rPr>
        <w:t xml:space="preserve"> 2; б) интерферонов; в) комбинации цитокинов (ИЛ-2 + гамма-ИНФ; ИЛ-2 + ИЛ-4 + + ИЛ-12; ФНО + ИЛ-2 и др.). Основной недостаток − выраженные побочные эффекты. 2. Использование </w:t>
      </w:r>
      <w:proofErr w:type="spellStart"/>
      <w:r w:rsidRPr="001539D2">
        <w:rPr>
          <w:sz w:val="28"/>
          <w:szCs w:val="28"/>
        </w:rPr>
        <w:t>иммуноцитов</w:t>
      </w:r>
      <w:proofErr w:type="spellEnd"/>
      <w:r w:rsidRPr="001539D2">
        <w:rPr>
          <w:sz w:val="28"/>
          <w:szCs w:val="28"/>
        </w:rPr>
        <w:t xml:space="preserve">: а) </w:t>
      </w:r>
      <w:proofErr w:type="spellStart"/>
      <w:r w:rsidRPr="001539D2">
        <w:rPr>
          <w:sz w:val="28"/>
          <w:szCs w:val="28"/>
        </w:rPr>
        <w:t>лимфокинактивированных</w:t>
      </w:r>
      <w:proofErr w:type="spellEnd"/>
      <w:r w:rsidRPr="001539D2">
        <w:rPr>
          <w:sz w:val="28"/>
          <w:szCs w:val="28"/>
        </w:rPr>
        <w:t xml:space="preserve"> клеток (ЛАК); б) ЛАК + цитокинов; в) лимфоцитов, инфильтрирующих опухоль (ЛИО); г) </w:t>
      </w:r>
      <w:proofErr w:type="spellStart"/>
      <w:r w:rsidRPr="001539D2">
        <w:rPr>
          <w:sz w:val="28"/>
          <w:szCs w:val="28"/>
        </w:rPr>
        <w:t>аутолимфоцитотерапии</w:t>
      </w:r>
      <w:proofErr w:type="spellEnd"/>
      <w:r w:rsidRPr="001539D2">
        <w:rPr>
          <w:sz w:val="28"/>
          <w:szCs w:val="28"/>
        </w:rPr>
        <w:t xml:space="preserve">. 3. Использование цитокинов в комбинации с </w:t>
      </w:r>
      <w:proofErr w:type="spellStart"/>
      <w:r w:rsidRPr="001539D2">
        <w:rPr>
          <w:sz w:val="28"/>
          <w:szCs w:val="28"/>
        </w:rPr>
        <w:t>цитостатиками</w:t>
      </w:r>
      <w:proofErr w:type="spellEnd"/>
      <w:r w:rsidRPr="001539D2">
        <w:rPr>
          <w:sz w:val="28"/>
          <w:szCs w:val="28"/>
        </w:rPr>
        <w:t xml:space="preserve">. 4. Аппликационное применение: ЛАК с малыми дозами цитокинов. К опухолям, в отношении которых доказана эффективность иммунотерапии, относятся: 1) меланома; 2) рак почки; 3) </w:t>
      </w:r>
      <w:proofErr w:type="spellStart"/>
      <w:r w:rsidRPr="001539D2">
        <w:rPr>
          <w:sz w:val="28"/>
          <w:szCs w:val="28"/>
        </w:rPr>
        <w:t>неходжкинская</w:t>
      </w:r>
      <w:proofErr w:type="spellEnd"/>
      <w:r w:rsidRPr="001539D2">
        <w:rPr>
          <w:sz w:val="28"/>
          <w:szCs w:val="28"/>
        </w:rPr>
        <w:t xml:space="preserve"> </w:t>
      </w:r>
      <w:proofErr w:type="spellStart"/>
      <w:r w:rsidRPr="001539D2">
        <w:rPr>
          <w:sz w:val="28"/>
          <w:szCs w:val="28"/>
        </w:rPr>
        <w:t>лимфома</w:t>
      </w:r>
      <w:proofErr w:type="spellEnd"/>
      <w:r w:rsidRPr="001539D2">
        <w:rPr>
          <w:sz w:val="28"/>
          <w:szCs w:val="28"/>
        </w:rPr>
        <w:t xml:space="preserve">; 4) </w:t>
      </w:r>
      <w:proofErr w:type="spellStart"/>
      <w:r w:rsidRPr="001539D2">
        <w:rPr>
          <w:sz w:val="28"/>
          <w:szCs w:val="28"/>
        </w:rPr>
        <w:t>волосатоклеточный</w:t>
      </w:r>
      <w:proofErr w:type="spellEnd"/>
      <w:r w:rsidRPr="001539D2">
        <w:rPr>
          <w:sz w:val="28"/>
          <w:szCs w:val="28"/>
        </w:rPr>
        <w:t xml:space="preserve"> лейкоз; 5) рак прямой кишки; 6) рак яичника; 7) глиома; 8) саркома мягких тканей. Из новых подходов к иммунотерапии опухолей, которые интенсивно разрабатываются во всем мире, можно назвать следующие: 1) введение </w:t>
      </w:r>
      <w:proofErr w:type="spellStart"/>
      <w:r w:rsidRPr="001539D2">
        <w:rPr>
          <w:sz w:val="28"/>
          <w:szCs w:val="28"/>
        </w:rPr>
        <w:t>иммунодоминантного</w:t>
      </w:r>
      <w:proofErr w:type="spellEnd"/>
      <w:r w:rsidRPr="001539D2">
        <w:rPr>
          <w:sz w:val="28"/>
          <w:szCs w:val="28"/>
        </w:rPr>
        <w:t xml:space="preserve"> опухолевого пептида в </w:t>
      </w:r>
      <w:proofErr w:type="spellStart"/>
      <w:r w:rsidRPr="001539D2">
        <w:rPr>
          <w:sz w:val="28"/>
          <w:szCs w:val="28"/>
        </w:rPr>
        <w:t>антигенпредставляющие</w:t>
      </w:r>
      <w:proofErr w:type="spellEnd"/>
      <w:r w:rsidRPr="001539D2">
        <w:rPr>
          <w:sz w:val="28"/>
          <w:szCs w:val="28"/>
        </w:rPr>
        <w:t xml:space="preserve"> клетки; 2) превращение опухолевой клетки в </w:t>
      </w:r>
      <w:proofErr w:type="spellStart"/>
      <w:r w:rsidRPr="001539D2">
        <w:rPr>
          <w:sz w:val="28"/>
          <w:szCs w:val="28"/>
        </w:rPr>
        <w:t>антигенпредставляющую</w:t>
      </w:r>
      <w:proofErr w:type="spellEnd"/>
      <w:r w:rsidRPr="001539D2">
        <w:rPr>
          <w:sz w:val="28"/>
          <w:szCs w:val="28"/>
        </w:rPr>
        <w:t xml:space="preserve"> с помощью </w:t>
      </w:r>
      <w:proofErr w:type="spellStart"/>
      <w:r w:rsidRPr="001539D2">
        <w:rPr>
          <w:sz w:val="28"/>
          <w:szCs w:val="28"/>
        </w:rPr>
        <w:t>трансфекции</w:t>
      </w:r>
      <w:proofErr w:type="spellEnd"/>
      <w:r w:rsidRPr="001539D2">
        <w:rPr>
          <w:sz w:val="28"/>
          <w:szCs w:val="28"/>
        </w:rPr>
        <w:t xml:space="preserve"> генов ИЛ-2, ИЛ-4, ИЛ-7, гамма-ИНФ и В</w:t>
      </w:r>
      <w:proofErr w:type="gramStart"/>
      <w:r w:rsidRPr="001539D2">
        <w:rPr>
          <w:sz w:val="28"/>
          <w:szCs w:val="28"/>
        </w:rPr>
        <w:t>7</w:t>
      </w:r>
      <w:proofErr w:type="gramEnd"/>
      <w:r w:rsidRPr="001539D2">
        <w:rPr>
          <w:sz w:val="28"/>
          <w:szCs w:val="28"/>
        </w:rPr>
        <w:t>.1. Сегодня в лечении опухолевого больного обязательно должен принимать участие клинический иммунолог</w:t>
      </w:r>
      <w:r w:rsidRPr="001539D2">
        <w:rPr>
          <w:sz w:val="28"/>
          <w:szCs w:val="28"/>
        </w:rPr>
        <w:t xml:space="preserve">. </w:t>
      </w:r>
    </w:p>
    <w:p w14:paraId="09B02ACD" w14:textId="77777777" w:rsidR="001A2A06" w:rsidRPr="001539D2" w:rsidRDefault="001A2A06" w:rsidP="008F4566">
      <w:pPr>
        <w:jc w:val="both"/>
        <w:rPr>
          <w:sz w:val="28"/>
          <w:szCs w:val="28"/>
        </w:rPr>
      </w:pPr>
    </w:p>
    <w:p w14:paraId="28D9ECE2" w14:textId="5A7D0831" w:rsidR="001A2A06" w:rsidRPr="001539D2" w:rsidRDefault="001A2A06" w:rsidP="001A2A06">
      <w:pPr>
        <w:jc w:val="center"/>
        <w:rPr>
          <w:b/>
          <w:sz w:val="28"/>
          <w:szCs w:val="28"/>
        </w:rPr>
      </w:pPr>
      <w:r w:rsidRPr="001539D2">
        <w:rPr>
          <w:b/>
          <w:sz w:val="28"/>
          <w:szCs w:val="28"/>
        </w:rPr>
        <w:t xml:space="preserve">Особенности иммунотерапии больных с </w:t>
      </w:r>
      <w:proofErr w:type="spellStart"/>
      <w:r w:rsidRPr="001539D2">
        <w:rPr>
          <w:b/>
          <w:sz w:val="28"/>
          <w:szCs w:val="28"/>
        </w:rPr>
        <w:t>онкопатологией</w:t>
      </w:r>
      <w:proofErr w:type="spellEnd"/>
      <w:r w:rsidRPr="001539D2">
        <w:rPr>
          <w:b/>
          <w:sz w:val="28"/>
          <w:szCs w:val="28"/>
        </w:rPr>
        <w:t xml:space="preserve">  </w:t>
      </w:r>
    </w:p>
    <w:p w14:paraId="66DA29A8" w14:textId="77777777" w:rsidR="001A2A06" w:rsidRPr="001539D2" w:rsidRDefault="001A2A06" w:rsidP="001A2A06">
      <w:pPr>
        <w:jc w:val="center"/>
        <w:rPr>
          <w:sz w:val="28"/>
          <w:szCs w:val="28"/>
        </w:rPr>
      </w:pPr>
    </w:p>
    <w:p w14:paraId="61148637" w14:textId="77777777" w:rsidR="001A2A06" w:rsidRPr="001539D2" w:rsidRDefault="001A2A06" w:rsidP="008F4566">
      <w:pPr>
        <w:jc w:val="both"/>
        <w:rPr>
          <w:sz w:val="28"/>
          <w:szCs w:val="28"/>
        </w:rPr>
      </w:pPr>
      <w:r w:rsidRPr="001539D2">
        <w:rPr>
          <w:sz w:val="28"/>
          <w:szCs w:val="28"/>
        </w:rPr>
        <w:t xml:space="preserve">В иммунотерапии больных с </w:t>
      </w:r>
      <w:proofErr w:type="spellStart"/>
      <w:r w:rsidRPr="001539D2">
        <w:rPr>
          <w:sz w:val="28"/>
          <w:szCs w:val="28"/>
        </w:rPr>
        <w:t>онкопатологией</w:t>
      </w:r>
      <w:proofErr w:type="spellEnd"/>
      <w:r w:rsidRPr="001539D2">
        <w:rPr>
          <w:sz w:val="28"/>
          <w:szCs w:val="28"/>
        </w:rPr>
        <w:t xml:space="preserve"> можно выделить два принципиально разных подхода: 1) воздействие на иммунную систему больного с целью </w:t>
      </w:r>
      <w:proofErr w:type="spellStart"/>
      <w:r w:rsidRPr="001539D2">
        <w:rPr>
          <w:sz w:val="28"/>
          <w:szCs w:val="28"/>
        </w:rPr>
        <w:t>иммунореабилитаци</w:t>
      </w:r>
      <w:r w:rsidRPr="001539D2">
        <w:rPr>
          <w:sz w:val="28"/>
          <w:szCs w:val="28"/>
        </w:rPr>
        <w:t>и</w:t>
      </w:r>
      <w:proofErr w:type="spellEnd"/>
      <w:r w:rsidRPr="001539D2">
        <w:rPr>
          <w:sz w:val="28"/>
          <w:szCs w:val="28"/>
        </w:rPr>
        <w:t>; 2) воздействие на опухоль.</w:t>
      </w:r>
      <w:r w:rsidRPr="001539D2">
        <w:rPr>
          <w:sz w:val="28"/>
          <w:szCs w:val="28"/>
        </w:rPr>
        <w:t xml:space="preserve"> Как уже упоминалось, развитие опухоли, как правило, ассоциируется с возникновением тех или иных нарушений в иммунной системе. Следует помнить о влиянии на конкретного онкологического больного, подлежащего лечению, дополнительных факторов, неблагоприятно воздействующих на иммунитет. К ним относятся: 1) стресс; 2) операционная травма; 3) наркоз; 4) возраст; 5) степень радикального удаления опухоли; 6) химиотерапия; 7) лучевая терапия; 8) степень нарушения питания. Эти факторы могут иметь место у конкретного больного как все вместе, так и в различных сочетаниях. Все это нужно учитывать при разработке плана </w:t>
      </w:r>
      <w:proofErr w:type="spellStart"/>
      <w:r w:rsidRPr="001539D2">
        <w:rPr>
          <w:sz w:val="28"/>
          <w:szCs w:val="28"/>
        </w:rPr>
        <w:t>иммунореабилитации</w:t>
      </w:r>
      <w:proofErr w:type="spellEnd"/>
      <w:r w:rsidRPr="001539D2">
        <w:rPr>
          <w:sz w:val="28"/>
          <w:szCs w:val="28"/>
        </w:rPr>
        <w:t xml:space="preserve">. Рекомендации относительно реализации плана </w:t>
      </w:r>
      <w:proofErr w:type="spellStart"/>
      <w:r w:rsidRPr="001539D2">
        <w:rPr>
          <w:sz w:val="28"/>
          <w:szCs w:val="28"/>
        </w:rPr>
        <w:t>иммунореабилитации</w:t>
      </w:r>
      <w:proofErr w:type="spellEnd"/>
      <w:r w:rsidRPr="001539D2">
        <w:rPr>
          <w:sz w:val="28"/>
          <w:szCs w:val="28"/>
        </w:rPr>
        <w:t xml:space="preserve"> могут выглядеть следующим образом: </w:t>
      </w:r>
    </w:p>
    <w:p w14:paraId="67ED65D6" w14:textId="6B6DE403" w:rsidR="001A2A06" w:rsidRPr="001539D2" w:rsidRDefault="001A2A06" w:rsidP="008F4566">
      <w:pPr>
        <w:jc w:val="both"/>
        <w:rPr>
          <w:sz w:val="28"/>
          <w:szCs w:val="28"/>
        </w:rPr>
      </w:pPr>
      <w:r w:rsidRPr="001539D2">
        <w:rPr>
          <w:sz w:val="28"/>
          <w:szCs w:val="28"/>
        </w:rPr>
        <w:t xml:space="preserve">1. До операции: </w:t>
      </w:r>
      <w:proofErr w:type="spellStart"/>
      <w:r w:rsidRPr="001539D2">
        <w:rPr>
          <w:sz w:val="28"/>
          <w:szCs w:val="28"/>
        </w:rPr>
        <w:t>иммуномониторинг</w:t>
      </w:r>
      <w:proofErr w:type="spellEnd"/>
      <w:r w:rsidRPr="001539D2">
        <w:rPr>
          <w:sz w:val="28"/>
          <w:szCs w:val="28"/>
        </w:rPr>
        <w:t xml:space="preserve"> − определение иммунного статуса и наличие специфического опухолевого антигена, при необходимости − назначение иммуномодуляторов широкого спектра действия.</w:t>
      </w:r>
    </w:p>
    <w:p w14:paraId="3A032FB5" w14:textId="1968B5D6" w:rsidR="001A2A06" w:rsidRPr="001539D2" w:rsidRDefault="001A2A06" w:rsidP="008F4566">
      <w:pPr>
        <w:jc w:val="both"/>
        <w:rPr>
          <w:sz w:val="28"/>
          <w:szCs w:val="28"/>
        </w:rPr>
      </w:pPr>
      <w:r w:rsidRPr="001539D2">
        <w:rPr>
          <w:sz w:val="28"/>
          <w:szCs w:val="28"/>
        </w:rPr>
        <w:lastRenderedPageBreak/>
        <w:t xml:space="preserve"> 2. После операции и </w:t>
      </w:r>
      <w:proofErr w:type="spellStart"/>
      <w:r w:rsidRPr="001539D2">
        <w:rPr>
          <w:sz w:val="28"/>
          <w:szCs w:val="28"/>
        </w:rPr>
        <w:t>химиорадиотерапии</w:t>
      </w:r>
      <w:proofErr w:type="spellEnd"/>
      <w:r w:rsidRPr="001539D2">
        <w:rPr>
          <w:sz w:val="28"/>
          <w:szCs w:val="28"/>
        </w:rPr>
        <w:t xml:space="preserve">: </w:t>
      </w:r>
      <w:proofErr w:type="spellStart"/>
      <w:r w:rsidRPr="001539D2">
        <w:rPr>
          <w:sz w:val="28"/>
          <w:szCs w:val="28"/>
        </w:rPr>
        <w:t>иммуномониторинг</w:t>
      </w:r>
      <w:proofErr w:type="spellEnd"/>
      <w:r w:rsidRPr="001539D2">
        <w:rPr>
          <w:sz w:val="28"/>
          <w:szCs w:val="28"/>
        </w:rPr>
        <w:t xml:space="preserve"> (идеально </w:t>
      </w:r>
      <w:r w:rsidRPr="001539D2">
        <w:rPr>
          <w:sz w:val="28"/>
          <w:szCs w:val="28"/>
        </w:rPr>
        <w:sym w:font="Symbol" w:char="F02D"/>
      </w:r>
      <w:r w:rsidRPr="001539D2">
        <w:rPr>
          <w:sz w:val="28"/>
          <w:szCs w:val="28"/>
        </w:rPr>
        <w:t xml:space="preserve"> определение ИЛ-10, ИЛ-6), </w:t>
      </w:r>
      <w:proofErr w:type="spellStart"/>
      <w:r w:rsidRPr="001539D2">
        <w:rPr>
          <w:sz w:val="28"/>
          <w:szCs w:val="28"/>
        </w:rPr>
        <w:t>детоксикация</w:t>
      </w:r>
      <w:proofErr w:type="spellEnd"/>
      <w:r w:rsidRPr="001539D2">
        <w:rPr>
          <w:sz w:val="28"/>
          <w:szCs w:val="28"/>
        </w:rPr>
        <w:t xml:space="preserve"> (</w:t>
      </w:r>
      <w:proofErr w:type="spellStart"/>
      <w:r w:rsidRPr="001539D2">
        <w:rPr>
          <w:sz w:val="28"/>
          <w:szCs w:val="28"/>
        </w:rPr>
        <w:t>энтеросорбция</w:t>
      </w:r>
      <w:proofErr w:type="spellEnd"/>
      <w:r w:rsidRPr="001539D2">
        <w:rPr>
          <w:sz w:val="28"/>
          <w:szCs w:val="28"/>
        </w:rPr>
        <w:t xml:space="preserve">, </w:t>
      </w:r>
      <w:proofErr w:type="spellStart"/>
      <w:r w:rsidRPr="001539D2">
        <w:rPr>
          <w:sz w:val="28"/>
          <w:szCs w:val="28"/>
        </w:rPr>
        <w:t>плазмаферез</w:t>
      </w:r>
      <w:proofErr w:type="spellEnd"/>
      <w:r w:rsidRPr="001539D2">
        <w:rPr>
          <w:sz w:val="28"/>
          <w:szCs w:val="28"/>
        </w:rPr>
        <w:t xml:space="preserve">), назначение иммуномодуляторов длительными курсами с учетом </w:t>
      </w:r>
      <w:proofErr w:type="spellStart"/>
      <w:r w:rsidRPr="001539D2">
        <w:rPr>
          <w:sz w:val="28"/>
          <w:szCs w:val="28"/>
        </w:rPr>
        <w:t>иммунограмм</w:t>
      </w:r>
      <w:proofErr w:type="spellEnd"/>
      <w:r w:rsidRPr="001539D2">
        <w:rPr>
          <w:sz w:val="28"/>
          <w:szCs w:val="28"/>
        </w:rPr>
        <w:t>.</w:t>
      </w:r>
    </w:p>
    <w:p w14:paraId="02E429DF" w14:textId="77777777" w:rsidR="001A2A06" w:rsidRPr="001539D2" w:rsidRDefault="001A2A06" w:rsidP="008F4566">
      <w:pPr>
        <w:jc w:val="both"/>
        <w:rPr>
          <w:sz w:val="28"/>
          <w:szCs w:val="28"/>
        </w:rPr>
      </w:pPr>
    </w:p>
    <w:p w14:paraId="0626F601" w14:textId="77777777" w:rsidR="001A2A06" w:rsidRPr="001539D2" w:rsidRDefault="001A2A06" w:rsidP="001A2A06">
      <w:pPr>
        <w:jc w:val="center"/>
        <w:rPr>
          <w:b/>
          <w:sz w:val="28"/>
          <w:szCs w:val="28"/>
        </w:rPr>
      </w:pPr>
      <w:r w:rsidRPr="001539D2">
        <w:rPr>
          <w:b/>
          <w:sz w:val="28"/>
          <w:szCs w:val="28"/>
        </w:rPr>
        <w:t>Возможности усиления противоопухолевых реакций Т-клеток</w:t>
      </w:r>
    </w:p>
    <w:p w14:paraId="736CBDFB" w14:textId="77777777" w:rsidR="001A2A06" w:rsidRPr="001539D2" w:rsidRDefault="001A2A06" w:rsidP="001A2A06">
      <w:pPr>
        <w:jc w:val="center"/>
        <w:rPr>
          <w:b/>
          <w:sz w:val="28"/>
          <w:szCs w:val="28"/>
        </w:rPr>
      </w:pPr>
    </w:p>
    <w:p w14:paraId="6E5F7B99" w14:textId="3387054B" w:rsidR="001A2A06" w:rsidRPr="001539D2" w:rsidRDefault="001A2A06" w:rsidP="008F4566">
      <w:pPr>
        <w:jc w:val="both"/>
        <w:rPr>
          <w:sz w:val="28"/>
          <w:szCs w:val="28"/>
        </w:rPr>
      </w:pPr>
      <w:r w:rsidRPr="001539D2">
        <w:rPr>
          <w:sz w:val="28"/>
          <w:szCs w:val="28"/>
        </w:rPr>
        <w:t xml:space="preserve"> В нашем арсенале имеется много возможностей для усиления противоопухолевых реакций организма: − использование цитокинов; − модификация генов опухолевых клеток; − модификация генов лимфоцитов; − противоопухолевые вакцины; − адъюванты. Наиболее подробно остановимся на адъювантах. Адъюванты – это вещества, которые усиливают иммунную реакцию на чужеродные антигены или собственные </w:t>
      </w:r>
      <w:proofErr w:type="spellStart"/>
      <w:r w:rsidRPr="001539D2">
        <w:rPr>
          <w:sz w:val="28"/>
          <w:szCs w:val="28"/>
        </w:rPr>
        <w:t>опухолеассоциированные</w:t>
      </w:r>
      <w:proofErr w:type="spellEnd"/>
      <w:r w:rsidRPr="001539D2">
        <w:rPr>
          <w:sz w:val="28"/>
          <w:szCs w:val="28"/>
        </w:rPr>
        <w:t xml:space="preserve"> антигены. Классическими считаются адъюванты бактериального происхождения, такие как бациллы </w:t>
      </w:r>
      <w:proofErr w:type="spellStart"/>
      <w:r w:rsidRPr="001539D2">
        <w:rPr>
          <w:sz w:val="28"/>
          <w:szCs w:val="28"/>
        </w:rPr>
        <w:t>Кальметта</w:t>
      </w:r>
      <w:proofErr w:type="spellEnd"/>
      <w:r w:rsidRPr="001539D2">
        <w:rPr>
          <w:sz w:val="28"/>
          <w:szCs w:val="28"/>
        </w:rPr>
        <w:t>–</w:t>
      </w:r>
      <w:proofErr w:type="spellStart"/>
      <w:r w:rsidRPr="001539D2">
        <w:rPr>
          <w:sz w:val="28"/>
          <w:szCs w:val="28"/>
        </w:rPr>
        <w:t>Герена</w:t>
      </w:r>
      <w:proofErr w:type="spellEnd"/>
      <w:r w:rsidRPr="001539D2">
        <w:rPr>
          <w:sz w:val="28"/>
          <w:szCs w:val="28"/>
        </w:rPr>
        <w:t xml:space="preserve"> (БЦЖ) и </w:t>
      </w:r>
      <w:proofErr w:type="spellStart"/>
      <w:r w:rsidRPr="001539D2">
        <w:rPr>
          <w:sz w:val="28"/>
          <w:szCs w:val="28"/>
        </w:rPr>
        <w:t>Cоrynebacterium</w:t>
      </w:r>
      <w:proofErr w:type="spellEnd"/>
      <w:r w:rsidRPr="001539D2">
        <w:rPr>
          <w:sz w:val="28"/>
          <w:szCs w:val="28"/>
        </w:rPr>
        <w:t xml:space="preserve"> </w:t>
      </w:r>
      <w:proofErr w:type="spellStart"/>
      <w:r w:rsidRPr="001539D2">
        <w:rPr>
          <w:sz w:val="28"/>
          <w:szCs w:val="28"/>
        </w:rPr>
        <w:t>parvum</w:t>
      </w:r>
      <w:proofErr w:type="spellEnd"/>
      <w:r w:rsidRPr="001539D2">
        <w:rPr>
          <w:sz w:val="28"/>
          <w:szCs w:val="28"/>
        </w:rPr>
        <w:t xml:space="preserve">, вещества, компоненты скелета клеточной стенки бактерий, </w:t>
      </w:r>
      <w:proofErr w:type="spellStart"/>
      <w:r w:rsidRPr="001539D2">
        <w:rPr>
          <w:sz w:val="28"/>
          <w:szCs w:val="28"/>
        </w:rPr>
        <w:t>мурамилдипептид</w:t>
      </w:r>
      <w:proofErr w:type="spellEnd"/>
      <w:r w:rsidRPr="001539D2">
        <w:rPr>
          <w:sz w:val="28"/>
          <w:szCs w:val="28"/>
        </w:rPr>
        <w:t>, липид</w:t>
      </w:r>
      <w:proofErr w:type="gramStart"/>
      <w:r w:rsidRPr="001539D2">
        <w:rPr>
          <w:sz w:val="28"/>
          <w:szCs w:val="28"/>
        </w:rPr>
        <w:t xml:space="preserve"> А</w:t>
      </w:r>
      <w:proofErr w:type="gramEnd"/>
      <w:r w:rsidRPr="001539D2">
        <w:rPr>
          <w:sz w:val="28"/>
          <w:szCs w:val="28"/>
        </w:rPr>
        <w:t xml:space="preserve">, </w:t>
      </w:r>
      <w:proofErr w:type="spellStart"/>
      <w:r w:rsidRPr="001539D2">
        <w:rPr>
          <w:sz w:val="28"/>
          <w:szCs w:val="28"/>
        </w:rPr>
        <w:t>димеколат</w:t>
      </w:r>
      <w:proofErr w:type="spellEnd"/>
      <w:r w:rsidRPr="001539D2">
        <w:rPr>
          <w:sz w:val="28"/>
          <w:szCs w:val="28"/>
        </w:rPr>
        <w:t xml:space="preserve"> </w:t>
      </w:r>
      <w:proofErr w:type="spellStart"/>
      <w:r w:rsidRPr="001539D2">
        <w:rPr>
          <w:sz w:val="28"/>
          <w:szCs w:val="28"/>
        </w:rPr>
        <w:t>тригалазы</w:t>
      </w:r>
      <w:proofErr w:type="spellEnd"/>
      <w:r w:rsidRPr="001539D2">
        <w:rPr>
          <w:sz w:val="28"/>
          <w:szCs w:val="28"/>
        </w:rPr>
        <w:t>, эндотоксин или синтетические компоненты. Эти вещества в ка</w:t>
      </w:r>
      <w:r w:rsidRPr="001539D2">
        <w:rPr>
          <w:sz w:val="28"/>
          <w:szCs w:val="28"/>
        </w:rPr>
        <w:t xml:space="preserve">честве адъювантов стимулируют </w:t>
      </w:r>
      <w:r w:rsidRPr="001539D2">
        <w:rPr>
          <w:sz w:val="28"/>
          <w:szCs w:val="28"/>
        </w:rPr>
        <w:t xml:space="preserve"> как гуморальную, так и клеточную активную неспецифическую иммунную реакцию. Эти реакции считаются неспецифическими, поскольку они не включают специфическое действие антигена или активацию опухолеспецифических Т-клеток, распознающих </w:t>
      </w:r>
      <w:proofErr w:type="spellStart"/>
      <w:r w:rsidRPr="001539D2">
        <w:rPr>
          <w:sz w:val="28"/>
          <w:szCs w:val="28"/>
        </w:rPr>
        <w:t>опухолеассоциированные</w:t>
      </w:r>
      <w:proofErr w:type="spellEnd"/>
      <w:r w:rsidRPr="001539D2">
        <w:rPr>
          <w:sz w:val="28"/>
          <w:szCs w:val="28"/>
        </w:rPr>
        <w:t xml:space="preserve"> или опухолеспецифические антигены. Их эффекты опосредуются вторичными сигналами, источником которых являются цитокины и </w:t>
      </w:r>
      <w:proofErr w:type="spellStart"/>
      <w:r w:rsidRPr="001539D2">
        <w:rPr>
          <w:sz w:val="28"/>
          <w:szCs w:val="28"/>
        </w:rPr>
        <w:t>лимфокины</w:t>
      </w:r>
      <w:proofErr w:type="spellEnd"/>
      <w:r w:rsidRPr="001539D2">
        <w:rPr>
          <w:sz w:val="28"/>
          <w:szCs w:val="28"/>
        </w:rPr>
        <w:t xml:space="preserve">, </w:t>
      </w:r>
      <w:proofErr w:type="spellStart"/>
      <w:r w:rsidRPr="001539D2">
        <w:rPr>
          <w:sz w:val="28"/>
          <w:szCs w:val="28"/>
        </w:rPr>
        <w:t>неспецифически</w:t>
      </w:r>
      <w:proofErr w:type="spellEnd"/>
      <w:r w:rsidRPr="001539D2">
        <w:rPr>
          <w:sz w:val="28"/>
          <w:szCs w:val="28"/>
        </w:rPr>
        <w:t xml:space="preserve"> активирующие общую иммунную реакцию организма путем стимуляции макрофагов, естественных </w:t>
      </w:r>
      <w:proofErr w:type="gramStart"/>
      <w:r w:rsidRPr="001539D2">
        <w:rPr>
          <w:sz w:val="28"/>
          <w:szCs w:val="28"/>
        </w:rPr>
        <w:t>киллеров</w:t>
      </w:r>
      <w:proofErr w:type="gramEnd"/>
      <w:r w:rsidRPr="001539D2">
        <w:rPr>
          <w:sz w:val="28"/>
          <w:szCs w:val="28"/>
        </w:rPr>
        <w:t xml:space="preserve"> и Т-клеток. К адъювантам также относят цитокины (интерфероны и </w:t>
      </w:r>
      <w:proofErr w:type="spellStart"/>
      <w:r w:rsidRPr="001539D2">
        <w:rPr>
          <w:sz w:val="28"/>
          <w:szCs w:val="28"/>
        </w:rPr>
        <w:t>колониестимулирующие</w:t>
      </w:r>
      <w:proofErr w:type="spellEnd"/>
      <w:r w:rsidRPr="001539D2">
        <w:rPr>
          <w:sz w:val="28"/>
          <w:szCs w:val="28"/>
        </w:rPr>
        <w:t xml:space="preserve"> факторы) и факторы роста, которые обладают иммуномодулирующими свойствами и при введении в больших дозах усиливают противоопухолевые реакции. Опыт применения адъювантов в онкологии показал, что некоторые адъюванты эффективны при отдельных формах рака, а другие не обладают терапевтическим действием. Лишь немногие из них действуют как иммуномодуляторы. Это БЦЖ при раке мочевого пузыря, интерферон-альфа при хроническом </w:t>
      </w:r>
      <w:proofErr w:type="spellStart"/>
      <w:r w:rsidRPr="001539D2">
        <w:rPr>
          <w:sz w:val="28"/>
          <w:szCs w:val="28"/>
        </w:rPr>
        <w:t>миелолейкозе</w:t>
      </w:r>
      <w:proofErr w:type="spellEnd"/>
      <w:r w:rsidRPr="001539D2">
        <w:rPr>
          <w:sz w:val="28"/>
          <w:szCs w:val="28"/>
        </w:rPr>
        <w:t xml:space="preserve"> и </w:t>
      </w:r>
      <w:proofErr w:type="spellStart"/>
      <w:r w:rsidRPr="001539D2">
        <w:rPr>
          <w:sz w:val="28"/>
          <w:szCs w:val="28"/>
        </w:rPr>
        <w:t>волосатоклеточном</w:t>
      </w:r>
      <w:proofErr w:type="spellEnd"/>
      <w:r w:rsidRPr="001539D2">
        <w:rPr>
          <w:sz w:val="28"/>
          <w:szCs w:val="28"/>
        </w:rPr>
        <w:t xml:space="preserve"> лейкозе, </w:t>
      </w:r>
      <w:proofErr w:type="spellStart"/>
      <w:r w:rsidRPr="001539D2">
        <w:rPr>
          <w:sz w:val="28"/>
          <w:szCs w:val="28"/>
        </w:rPr>
        <w:t>левамизол</w:t>
      </w:r>
      <w:proofErr w:type="spellEnd"/>
      <w:r w:rsidRPr="001539D2">
        <w:rPr>
          <w:sz w:val="28"/>
          <w:szCs w:val="28"/>
        </w:rPr>
        <w:t xml:space="preserve"> в комбинации с 5-фторурацилом при раке толстой и прямой кишки. Большинство адъювантов действуют лишь в комбинации с другими </w:t>
      </w:r>
      <w:proofErr w:type="spellStart"/>
      <w:r w:rsidRPr="001539D2">
        <w:rPr>
          <w:sz w:val="28"/>
          <w:szCs w:val="28"/>
        </w:rPr>
        <w:t>биотерапевтическими</w:t>
      </w:r>
      <w:proofErr w:type="spellEnd"/>
      <w:r w:rsidRPr="001539D2">
        <w:rPr>
          <w:sz w:val="28"/>
          <w:szCs w:val="28"/>
        </w:rPr>
        <w:t xml:space="preserve"> препаратами. Таким образом, накопившиеся сведения о взаимоотношении опухоли и иммунной системы позволяют подходить к биотерапии опухолей на рациональной основе и заранее прогнозировать успех или неудачу планируемого вида лечения</w:t>
      </w:r>
      <w:r w:rsidRPr="001539D2">
        <w:rPr>
          <w:sz w:val="28"/>
          <w:szCs w:val="28"/>
        </w:rPr>
        <w:t>.</w:t>
      </w:r>
    </w:p>
    <w:p w14:paraId="628F6E4A" w14:textId="77777777" w:rsidR="001A2A06" w:rsidRPr="001539D2" w:rsidRDefault="001A2A06" w:rsidP="008F4566">
      <w:pPr>
        <w:jc w:val="both"/>
        <w:rPr>
          <w:sz w:val="28"/>
          <w:szCs w:val="28"/>
        </w:rPr>
      </w:pPr>
    </w:p>
    <w:p w14:paraId="1CE9EE68" w14:textId="77777777" w:rsidR="001539D2" w:rsidRDefault="001539D2" w:rsidP="001A2A06">
      <w:pPr>
        <w:jc w:val="center"/>
        <w:rPr>
          <w:b/>
          <w:sz w:val="28"/>
          <w:szCs w:val="28"/>
        </w:rPr>
      </w:pPr>
    </w:p>
    <w:p w14:paraId="556BBDE8" w14:textId="77777777" w:rsidR="001539D2" w:rsidRDefault="001539D2" w:rsidP="001A2A06">
      <w:pPr>
        <w:jc w:val="center"/>
        <w:rPr>
          <w:b/>
          <w:sz w:val="28"/>
          <w:szCs w:val="28"/>
        </w:rPr>
      </w:pPr>
    </w:p>
    <w:p w14:paraId="21615AFA" w14:textId="77777777" w:rsidR="001539D2" w:rsidRDefault="001539D2" w:rsidP="001A2A06">
      <w:pPr>
        <w:jc w:val="center"/>
        <w:rPr>
          <w:b/>
          <w:sz w:val="28"/>
          <w:szCs w:val="28"/>
        </w:rPr>
      </w:pPr>
    </w:p>
    <w:p w14:paraId="2EEBFFAA" w14:textId="77777777" w:rsidR="001539D2" w:rsidRDefault="001539D2" w:rsidP="001A2A06">
      <w:pPr>
        <w:jc w:val="center"/>
        <w:rPr>
          <w:b/>
          <w:sz w:val="28"/>
          <w:szCs w:val="28"/>
        </w:rPr>
      </w:pPr>
    </w:p>
    <w:p w14:paraId="3BFBB6FA" w14:textId="77777777" w:rsidR="001A2A06" w:rsidRPr="001539D2" w:rsidRDefault="001A2A06" w:rsidP="001A2A06">
      <w:pPr>
        <w:jc w:val="center"/>
        <w:rPr>
          <w:b/>
          <w:sz w:val="28"/>
          <w:szCs w:val="28"/>
        </w:rPr>
      </w:pPr>
      <w:r w:rsidRPr="001539D2">
        <w:rPr>
          <w:b/>
          <w:sz w:val="28"/>
          <w:szCs w:val="28"/>
        </w:rPr>
        <w:lastRenderedPageBreak/>
        <w:t>ИММУНОДИАГНОСТИКА ОПУХОЛЕЙ</w:t>
      </w:r>
    </w:p>
    <w:p w14:paraId="5DE2E41D" w14:textId="246EB0ED" w:rsidR="001A2A06" w:rsidRPr="001539D2" w:rsidRDefault="001A2A06" w:rsidP="008F4566">
      <w:pPr>
        <w:jc w:val="both"/>
        <w:rPr>
          <w:sz w:val="28"/>
          <w:szCs w:val="28"/>
        </w:rPr>
      </w:pPr>
      <w:r w:rsidRPr="001539D2">
        <w:rPr>
          <w:sz w:val="28"/>
          <w:szCs w:val="28"/>
        </w:rPr>
        <w:t xml:space="preserve"> Иммунодиагностика (ИД) − наиболее разработанная область иммунологии рака, прочно вошедшая в клиническую практику. Она основана на одном из фундаментальных свойств опухоли − сохранении ею направления и уровня дифференцировки клетки-предшественницы. Все антигены, используемые в ИД опухолей, − это </w:t>
      </w:r>
      <w:proofErr w:type="spellStart"/>
      <w:r w:rsidRPr="001539D2">
        <w:rPr>
          <w:sz w:val="28"/>
          <w:szCs w:val="28"/>
        </w:rPr>
        <w:t>дифференцировочные</w:t>
      </w:r>
      <w:proofErr w:type="spellEnd"/>
      <w:r w:rsidRPr="001539D2">
        <w:rPr>
          <w:sz w:val="28"/>
          <w:szCs w:val="28"/>
        </w:rPr>
        <w:t xml:space="preserve"> антигены соответствующей нормальной ткани, характеризующие </w:t>
      </w:r>
      <w:r w:rsidRPr="001539D2">
        <w:rPr>
          <w:sz w:val="28"/>
          <w:szCs w:val="28"/>
        </w:rPr>
        <w:t xml:space="preserve">определенный этап ее </w:t>
      </w:r>
      <w:proofErr w:type="spellStart"/>
      <w:r w:rsidRPr="001539D2">
        <w:rPr>
          <w:sz w:val="28"/>
          <w:szCs w:val="28"/>
        </w:rPr>
        <w:t>созревания</w:t>
      </w:r>
      <w:proofErr w:type="gramStart"/>
      <w:r w:rsidRPr="001539D2">
        <w:rPr>
          <w:sz w:val="28"/>
          <w:szCs w:val="28"/>
        </w:rPr>
        <w:t>.</w:t>
      </w:r>
      <w:r w:rsidRPr="001539D2">
        <w:rPr>
          <w:sz w:val="28"/>
          <w:szCs w:val="28"/>
        </w:rPr>
        <w:t>Э</w:t>
      </w:r>
      <w:proofErr w:type="gramEnd"/>
      <w:r w:rsidRPr="001539D2">
        <w:rPr>
          <w:sz w:val="28"/>
          <w:szCs w:val="28"/>
        </w:rPr>
        <w:t>то</w:t>
      </w:r>
      <w:proofErr w:type="spellEnd"/>
      <w:r w:rsidRPr="001539D2">
        <w:rPr>
          <w:sz w:val="28"/>
          <w:szCs w:val="28"/>
        </w:rPr>
        <w:t xml:space="preserve"> особенно ярко выражено в </w:t>
      </w:r>
      <w:proofErr w:type="spellStart"/>
      <w:r w:rsidRPr="001539D2">
        <w:rPr>
          <w:sz w:val="28"/>
          <w:szCs w:val="28"/>
        </w:rPr>
        <w:t>иммунофенотипировании</w:t>
      </w:r>
      <w:proofErr w:type="spellEnd"/>
      <w:r w:rsidRPr="001539D2">
        <w:rPr>
          <w:sz w:val="28"/>
          <w:szCs w:val="28"/>
        </w:rPr>
        <w:t xml:space="preserve"> </w:t>
      </w:r>
      <w:proofErr w:type="spellStart"/>
      <w:r w:rsidRPr="001539D2">
        <w:rPr>
          <w:sz w:val="28"/>
          <w:szCs w:val="28"/>
        </w:rPr>
        <w:t>гемобластозов</w:t>
      </w:r>
      <w:proofErr w:type="spellEnd"/>
      <w:r w:rsidRPr="001539D2">
        <w:rPr>
          <w:sz w:val="28"/>
          <w:szCs w:val="28"/>
        </w:rPr>
        <w:t xml:space="preserve">, каждая из форм которых в точности соответствует по антигенам клеточной мембраны как бы «замороженной» стадии дифференцировки той или иной ветви кроветворения. Эта закономерность соблюдается настолько четко, что некоторые ранние и </w:t>
      </w:r>
      <w:proofErr w:type="spellStart"/>
      <w:r w:rsidRPr="001539D2">
        <w:rPr>
          <w:sz w:val="28"/>
          <w:szCs w:val="28"/>
        </w:rPr>
        <w:t>быстропреходящие</w:t>
      </w:r>
      <w:proofErr w:type="spellEnd"/>
      <w:r w:rsidRPr="001539D2">
        <w:rPr>
          <w:sz w:val="28"/>
          <w:szCs w:val="28"/>
        </w:rPr>
        <w:t xml:space="preserve"> стадии развития лимфоцитов впервые были выявлены и охарактеризованы только благодаря существованию соответствующих острых лейкозов. Так, например, </w:t>
      </w:r>
      <w:proofErr w:type="spellStart"/>
      <w:r w:rsidRPr="001539D2">
        <w:rPr>
          <w:sz w:val="28"/>
          <w:szCs w:val="28"/>
        </w:rPr>
        <w:t>ретровирус</w:t>
      </w:r>
      <w:proofErr w:type="spellEnd"/>
      <w:r w:rsidRPr="001539D2">
        <w:rPr>
          <w:sz w:val="28"/>
          <w:szCs w:val="28"/>
        </w:rPr>
        <w:t xml:space="preserve"> </w:t>
      </w:r>
      <w:proofErr w:type="spellStart"/>
      <w:r w:rsidRPr="001539D2">
        <w:rPr>
          <w:sz w:val="28"/>
          <w:szCs w:val="28"/>
        </w:rPr>
        <w:t>Абельсона</w:t>
      </w:r>
      <w:proofErr w:type="spellEnd"/>
      <w:r w:rsidRPr="001539D2">
        <w:rPr>
          <w:sz w:val="28"/>
          <w:szCs w:val="28"/>
        </w:rPr>
        <w:t xml:space="preserve">, вызывающий острый </w:t>
      </w:r>
      <w:proofErr w:type="spellStart"/>
      <w:r w:rsidRPr="001539D2">
        <w:rPr>
          <w:sz w:val="28"/>
          <w:szCs w:val="28"/>
        </w:rPr>
        <w:t>преВ</w:t>
      </w:r>
      <w:proofErr w:type="spellEnd"/>
      <w:r w:rsidRPr="001539D2">
        <w:rPr>
          <w:sz w:val="28"/>
          <w:szCs w:val="28"/>
        </w:rPr>
        <w:t>-клеточный лейкоз у мышей, позволил идентифицировать самые ранние стадии развития В-лимфоцита, на которых только начинается рекомбинация D- и J-фрагментов тяжелой (Н) цепи иммуноглобулина (</w:t>
      </w:r>
      <w:proofErr w:type="spellStart"/>
      <w:r w:rsidRPr="001539D2">
        <w:rPr>
          <w:sz w:val="28"/>
          <w:szCs w:val="28"/>
        </w:rPr>
        <w:t>Ig</w:t>
      </w:r>
      <w:proofErr w:type="spellEnd"/>
      <w:r w:rsidRPr="001539D2">
        <w:rPr>
          <w:sz w:val="28"/>
          <w:szCs w:val="28"/>
        </w:rPr>
        <w:t xml:space="preserve">). Точно так же один из характерных антигенных маркеров ранних В-лимфоцитов, так называемый общий антиген острых лимфатических лейкозов человека (CALLA), был вначале обнаружен как специфический лейкозный антиген, а затем найден и в нормальном ряду дифференцировки В-лимфоцита. Результаты </w:t>
      </w:r>
      <w:proofErr w:type="spellStart"/>
      <w:r w:rsidRPr="001539D2">
        <w:rPr>
          <w:sz w:val="28"/>
          <w:szCs w:val="28"/>
        </w:rPr>
        <w:t>иммунофенотипирования</w:t>
      </w:r>
      <w:proofErr w:type="spellEnd"/>
      <w:r w:rsidRPr="001539D2">
        <w:rPr>
          <w:sz w:val="28"/>
          <w:szCs w:val="28"/>
        </w:rPr>
        <w:t xml:space="preserve"> лейкозов особенно впечатляющи при анализе острых, морфологически неразличимых </w:t>
      </w:r>
      <w:proofErr w:type="spellStart"/>
      <w:r w:rsidRPr="001539D2">
        <w:rPr>
          <w:sz w:val="28"/>
          <w:szCs w:val="28"/>
        </w:rPr>
        <w:t>гемобластозов</w:t>
      </w:r>
      <w:proofErr w:type="spellEnd"/>
      <w:r w:rsidRPr="001539D2">
        <w:rPr>
          <w:sz w:val="28"/>
          <w:szCs w:val="28"/>
        </w:rPr>
        <w:t xml:space="preserve">, где с помощью </w:t>
      </w:r>
      <w:proofErr w:type="spellStart"/>
      <w:r w:rsidRPr="001539D2">
        <w:rPr>
          <w:sz w:val="28"/>
          <w:szCs w:val="28"/>
        </w:rPr>
        <w:t>иммунофенотипирования</w:t>
      </w:r>
      <w:proofErr w:type="spellEnd"/>
      <w:r w:rsidRPr="001539D2">
        <w:rPr>
          <w:sz w:val="28"/>
          <w:szCs w:val="28"/>
        </w:rPr>
        <w:t xml:space="preserve"> можно вычленить острые </w:t>
      </w:r>
      <w:proofErr w:type="spellStart"/>
      <w:r w:rsidRPr="001539D2">
        <w:rPr>
          <w:sz w:val="28"/>
          <w:szCs w:val="28"/>
        </w:rPr>
        <w:t>эритр</w:t>
      </w:r>
      <w:proofErr w:type="gramStart"/>
      <w:r w:rsidRPr="001539D2">
        <w:rPr>
          <w:sz w:val="28"/>
          <w:szCs w:val="28"/>
        </w:rPr>
        <w:t>о</w:t>
      </w:r>
      <w:proofErr w:type="spellEnd"/>
      <w:r w:rsidRPr="001539D2">
        <w:rPr>
          <w:sz w:val="28"/>
          <w:szCs w:val="28"/>
        </w:rPr>
        <w:t>-</w:t>
      </w:r>
      <w:proofErr w:type="gramEnd"/>
      <w:r w:rsidRPr="001539D2">
        <w:rPr>
          <w:sz w:val="28"/>
          <w:szCs w:val="28"/>
        </w:rPr>
        <w:t xml:space="preserve">, </w:t>
      </w:r>
      <w:proofErr w:type="spellStart"/>
      <w:r w:rsidRPr="001539D2">
        <w:rPr>
          <w:sz w:val="28"/>
          <w:szCs w:val="28"/>
        </w:rPr>
        <w:t>миело</w:t>
      </w:r>
      <w:proofErr w:type="spellEnd"/>
      <w:r w:rsidRPr="001539D2">
        <w:rPr>
          <w:sz w:val="28"/>
          <w:szCs w:val="28"/>
        </w:rPr>
        <w:t xml:space="preserve">- и </w:t>
      </w:r>
      <w:proofErr w:type="spellStart"/>
      <w:r w:rsidRPr="001539D2">
        <w:rPr>
          <w:sz w:val="28"/>
          <w:szCs w:val="28"/>
        </w:rPr>
        <w:t>лимфобластные</w:t>
      </w:r>
      <w:proofErr w:type="spellEnd"/>
      <w:r w:rsidRPr="001539D2">
        <w:rPr>
          <w:sz w:val="28"/>
          <w:szCs w:val="28"/>
        </w:rPr>
        <w:t xml:space="preserve"> лейкозы, отличающиеся по прогнозу и схемам лечения. </w:t>
      </w:r>
      <w:proofErr w:type="spellStart"/>
      <w:r w:rsidRPr="001539D2">
        <w:rPr>
          <w:sz w:val="28"/>
          <w:szCs w:val="28"/>
        </w:rPr>
        <w:t>Иммунофенотипирование</w:t>
      </w:r>
      <w:proofErr w:type="spellEnd"/>
      <w:r w:rsidRPr="001539D2">
        <w:rPr>
          <w:sz w:val="28"/>
          <w:szCs w:val="28"/>
        </w:rPr>
        <w:t xml:space="preserve"> позволяет также дифференцировать </w:t>
      </w:r>
      <w:proofErr w:type="gramStart"/>
      <w:r w:rsidRPr="001539D2">
        <w:rPr>
          <w:sz w:val="28"/>
          <w:szCs w:val="28"/>
        </w:rPr>
        <w:t>В-</w:t>
      </w:r>
      <w:proofErr w:type="gramEnd"/>
      <w:r w:rsidRPr="001539D2">
        <w:rPr>
          <w:sz w:val="28"/>
          <w:szCs w:val="28"/>
        </w:rPr>
        <w:t xml:space="preserve"> и Т-</w:t>
      </w:r>
      <w:proofErr w:type="spellStart"/>
      <w:r w:rsidRPr="001539D2">
        <w:rPr>
          <w:sz w:val="28"/>
          <w:szCs w:val="28"/>
        </w:rPr>
        <w:t>лимфолейкозы</w:t>
      </w:r>
      <w:proofErr w:type="spellEnd"/>
      <w:r w:rsidRPr="001539D2">
        <w:rPr>
          <w:sz w:val="28"/>
          <w:szCs w:val="28"/>
        </w:rPr>
        <w:t xml:space="preserve">, притом находящиеся на разных стадиях дифференцировки. Таким образом, </w:t>
      </w:r>
      <w:proofErr w:type="spellStart"/>
      <w:r w:rsidRPr="001539D2">
        <w:rPr>
          <w:sz w:val="28"/>
          <w:szCs w:val="28"/>
        </w:rPr>
        <w:t>иммунофенотипирование</w:t>
      </w:r>
      <w:proofErr w:type="spellEnd"/>
      <w:r w:rsidRPr="001539D2">
        <w:rPr>
          <w:sz w:val="28"/>
          <w:szCs w:val="28"/>
        </w:rPr>
        <w:t xml:space="preserve"> дало бесценный материал для анализа патогенеза </w:t>
      </w:r>
      <w:proofErr w:type="spellStart"/>
      <w:r w:rsidRPr="001539D2">
        <w:rPr>
          <w:sz w:val="28"/>
          <w:szCs w:val="28"/>
        </w:rPr>
        <w:t>гемобластозов</w:t>
      </w:r>
      <w:proofErr w:type="spellEnd"/>
      <w:r w:rsidRPr="001539D2">
        <w:rPr>
          <w:sz w:val="28"/>
          <w:szCs w:val="28"/>
        </w:rPr>
        <w:t xml:space="preserve"> и одновременно вошло в их клинику как необходимый и сегодня уже рутинный компонент в диагностике и классификации гематологических новообразований. Едва ли не исчерпывающая полнота знаний в области </w:t>
      </w:r>
      <w:proofErr w:type="spellStart"/>
      <w:r w:rsidRPr="001539D2">
        <w:rPr>
          <w:sz w:val="28"/>
          <w:szCs w:val="28"/>
        </w:rPr>
        <w:t>иммунофенотипирования</w:t>
      </w:r>
      <w:proofErr w:type="spellEnd"/>
      <w:r w:rsidRPr="001539D2">
        <w:rPr>
          <w:sz w:val="28"/>
          <w:szCs w:val="28"/>
        </w:rPr>
        <w:t xml:space="preserve"> лейкозов обязана в основном методу гибридом. Именно этот метод, обладающий абсолютной разрешающей способностью в идентификации и характеристике отдельных </w:t>
      </w:r>
      <w:proofErr w:type="spellStart"/>
      <w:r w:rsidRPr="001539D2">
        <w:rPr>
          <w:sz w:val="28"/>
          <w:szCs w:val="28"/>
        </w:rPr>
        <w:t>эпитопов</w:t>
      </w:r>
      <w:proofErr w:type="spellEnd"/>
      <w:r w:rsidRPr="001539D2">
        <w:rPr>
          <w:sz w:val="28"/>
          <w:szCs w:val="28"/>
        </w:rPr>
        <w:t xml:space="preserve"> </w:t>
      </w:r>
      <w:proofErr w:type="spellStart"/>
      <w:r w:rsidRPr="001539D2">
        <w:rPr>
          <w:sz w:val="28"/>
          <w:szCs w:val="28"/>
        </w:rPr>
        <w:t>дифференцировочных</w:t>
      </w:r>
      <w:proofErr w:type="spellEnd"/>
      <w:r w:rsidRPr="001539D2">
        <w:rPr>
          <w:sz w:val="28"/>
          <w:szCs w:val="28"/>
        </w:rPr>
        <w:t xml:space="preserve"> антигенов, позволил построить точнейшие </w:t>
      </w:r>
      <w:proofErr w:type="spellStart"/>
      <w:r w:rsidRPr="001539D2">
        <w:rPr>
          <w:sz w:val="28"/>
          <w:szCs w:val="28"/>
        </w:rPr>
        <w:t>эпитопные</w:t>
      </w:r>
      <w:proofErr w:type="spellEnd"/>
      <w:r w:rsidRPr="001539D2">
        <w:rPr>
          <w:sz w:val="28"/>
          <w:szCs w:val="28"/>
        </w:rPr>
        <w:t xml:space="preserve"> карты поверхности клеток кроветворного ряда.</w:t>
      </w:r>
    </w:p>
    <w:p w14:paraId="06B5FF6B" w14:textId="77777777" w:rsidR="001A2A06" w:rsidRPr="001539D2" w:rsidRDefault="001A2A06" w:rsidP="008F4566">
      <w:pPr>
        <w:jc w:val="both"/>
        <w:rPr>
          <w:sz w:val="28"/>
          <w:szCs w:val="28"/>
        </w:rPr>
      </w:pPr>
    </w:p>
    <w:p w14:paraId="72AB624D" w14:textId="77777777" w:rsidR="001539D2" w:rsidRDefault="001539D2" w:rsidP="008F4566">
      <w:pPr>
        <w:jc w:val="both"/>
        <w:rPr>
          <w:b/>
          <w:sz w:val="28"/>
          <w:szCs w:val="28"/>
        </w:rPr>
      </w:pPr>
    </w:p>
    <w:p w14:paraId="33E70D8C" w14:textId="77777777" w:rsidR="001539D2" w:rsidRDefault="001539D2" w:rsidP="008F4566">
      <w:pPr>
        <w:jc w:val="both"/>
        <w:rPr>
          <w:b/>
          <w:sz w:val="28"/>
          <w:szCs w:val="28"/>
        </w:rPr>
      </w:pPr>
    </w:p>
    <w:p w14:paraId="41FF8B27" w14:textId="77777777" w:rsidR="001539D2" w:rsidRDefault="001539D2" w:rsidP="008F4566">
      <w:pPr>
        <w:jc w:val="both"/>
        <w:rPr>
          <w:b/>
          <w:sz w:val="28"/>
          <w:szCs w:val="28"/>
        </w:rPr>
      </w:pPr>
    </w:p>
    <w:p w14:paraId="038A221A" w14:textId="77777777" w:rsidR="001539D2" w:rsidRDefault="001539D2" w:rsidP="008F4566">
      <w:pPr>
        <w:jc w:val="both"/>
        <w:rPr>
          <w:b/>
          <w:sz w:val="28"/>
          <w:szCs w:val="28"/>
        </w:rPr>
      </w:pPr>
    </w:p>
    <w:p w14:paraId="654AE522" w14:textId="77777777" w:rsidR="001539D2" w:rsidRDefault="001539D2" w:rsidP="008F4566">
      <w:pPr>
        <w:jc w:val="both"/>
        <w:rPr>
          <w:b/>
          <w:sz w:val="28"/>
          <w:szCs w:val="28"/>
        </w:rPr>
      </w:pPr>
    </w:p>
    <w:p w14:paraId="05453135" w14:textId="77777777" w:rsidR="001539D2" w:rsidRDefault="001539D2" w:rsidP="008F4566">
      <w:pPr>
        <w:jc w:val="both"/>
        <w:rPr>
          <w:b/>
          <w:sz w:val="28"/>
          <w:szCs w:val="28"/>
        </w:rPr>
      </w:pPr>
    </w:p>
    <w:p w14:paraId="4A7D684A" w14:textId="77777777" w:rsidR="001539D2" w:rsidRDefault="001539D2" w:rsidP="008F4566">
      <w:pPr>
        <w:jc w:val="both"/>
        <w:rPr>
          <w:b/>
          <w:sz w:val="28"/>
          <w:szCs w:val="28"/>
        </w:rPr>
      </w:pPr>
    </w:p>
    <w:p w14:paraId="4816B4E6" w14:textId="77777777" w:rsidR="001539D2" w:rsidRDefault="001539D2" w:rsidP="008F4566">
      <w:pPr>
        <w:jc w:val="both"/>
        <w:rPr>
          <w:b/>
          <w:sz w:val="28"/>
          <w:szCs w:val="28"/>
        </w:rPr>
      </w:pPr>
    </w:p>
    <w:p w14:paraId="2A26C97A" w14:textId="77777777" w:rsidR="001539D2" w:rsidRDefault="001539D2" w:rsidP="008F4566">
      <w:pPr>
        <w:jc w:val="both"/>
        <w:rPr>
          <w:b/>
          <w:sz w:val="28"/>
          <w:szCs w:val="28"/>
        </w:rPr>
      </w:pPr>
    </w:p>
    <w:p w14:paraId="2D0C12B5" w14:textId="77777777" w:rsidR="001539D2" w:rsidRDefault="001539D2" w:rsidP="008F4566">
      <w:pPr>
        <w:jc w:val="both"/>
        <w:rPr>
          <w:b/>
          <w:sz w:val="28"/>
          <w:szCs w:val="28"/>
        </w:rPr>
      </w:pPr>
    </w:p>
    <w:p w14:paraId="433664DF" w14:textId="77777777" w:rsidR="001539D2" w:rsidRDefault="001539D2" w:rsidP="008F4566">
      <w:pPr>
        <w:jc w:val="both"/>
        <w:rPr>
          <w:b/>
          <w:sz w:val="28"/>
          <w:szCs w:val="28"/>
        </w:rPr>
      </w:pPr>
    </w:p>
    <w:p w14:paraId="45864279" w14:textId="4A14455E" w:rsidR="001A2A06" w:rsidRPr="001539D2" w:rsidRDefault="001A2A06" w:rsidP="008F4566">
      <w:pPr>
        <w:jc w:val="both"/>
        <w:rPr>
          <w:b/>
          <w:sz w:val="28"/>
          <w:szCs w:val="28"/>
        </w:rPr>
      </w:pPr>
      <w:r w:rsidRPr="001539D2">
        <w:rPr>
          <w:b/>
          <w:sz w:val="28"/>
          <w:szCs w:val="28"/>
        </w:rPr>
        <w:t xml:space="preserve">Опухолевые маркеры как </w:t>
      </w:r>
      <w:proofErr w:type="spellStart"/>
      <w:r w:rsidRPr="001539D2">
        <w:rPr>
          <w:b/>
          <w:sz w:val="28"/>
          <w:szCs w:val="28"/>
        </w:rPr>
        <w:t>дифференцировочные</w:t>
      </w:r>
      <w:proofErr w:type="spellEnd"/>
      <w:r w:rsidRPr="001539D2">
        <w:rPr>
          <w:b/>
          <w:sz w:val="28"/>
          <w:szCs w:val="28"/>
        </w:rPr>
        <w:t xml:space="preserve"> антигены</w:t>
      </w:r>
    </w:p>
    <w:tbl>
      <w:tblPr>
        <w:tblStyle w:val="af"/>
        <w:tblW w:w="11311" w:type="dxa"/>
        <w:tblInd w:w="-1168" w:type="dxa"/>
        <w:tblLayout w:type="fixed"/>
        <w:tblLook w:val="04A0" w:firstRow="1" w:lastRow="0" w:firstColumn="1" w:lastColumn="0" w:noHBand="0" w:noVBand="1"/>
      </w:tblPr>
      <w:tblGrid>
        <w:gridCol w:w="3722"/>
        <w:gridCol w:w="2524"/>
        <w:gridCol w:w="2968"/>
        <w:gridCol w:w="2097"/>
      </w:tblGrid>
      <w:tr w:rsidR="001A2A06" w:rsidRPr="001539D2" w14:paraId="7E9AE373" w14:textId="77777777" w:rsidTr="001539D2">
        <w:trPr>
          <w:trHeight w:val="1321"/>
        </w:trPr>
        <w:tc>
          <w:tcPr>
            <w:tcW w:w="3722" w:type="dxa"/>
          </w:tcPr>
          <w:p w14:paraId="7F0E4061" w14:textId="7C409016" w:rsidR="001A2A06" w:rsidRPr="001539D2" w:rsidRDefault="001A2A06" w:rsidP="008F4566">
            <w:pPr>
              <w:jc w:val="both"/>
              <w:rPr>
                <w:b/>
                <w:bCs/>
                <w:color w:val="000000" w:themeColor="text1"/>
              </w:rPr>
            </w:pPr>
            <w:r w:rsidRPr="001539D2">
              <w:rPr>
                <w:b/>
                <w:bCs/>
                <w:color w:val="000000" w:themeColor="text1"/>
              </w:rPr>
              <w:t>Антиген</w:t>
            </w:r>
          </w:p>
        </w:tc>
        <w:tc>
          <w:tcPr>
            <w:tcW w:w="2524" w:type="dxa"/>
          </w:tcPr>
          <w:p w14:paraId="60C8D581" w14:textId="03B382A4" w:rsidR="001A2A06" w:rsidRPr="001539D2" w:rsidRDefault="001A2A06" w:rsidP="008F4566">
            <w:pPr>
              <w:jc w:val="both"/>
              <w:rPr>
                <w:b/>
                <w:bCs/>
                <w:color w:val="000000" w:themeColor="text1"/>
              </w:rPr>
            </w:pPr>
            <w:r w:rsidRPr="001539D2">
              <w:rPr>
                <w:b/>
                <w:bCs/>
                <w:color w:val="000000" w:themeColor="text1"/>
              </w:rPr>
              <w:t>Маркер опухоли</w:t>
            </w:r>
          </w:p>
        </w:tc>
        <w:tc>
          <w:tcPr>
            <w:tcW w:w="2968" w:type="dxa"/>
          </w:tcPr>
          <w:p w14:paraId="13B390E7" w14:textId="6BA777EC" w:rsidR="001A2A06" w:rsidRPr="001539D2" w:rsidRDefault="001A2A06" w:rsidP="008F4566">
            <w:pPr>
              <w:jc w:val="both"/>
              <w:rPr>
                <w:b/>
                <w:bCs/>
                <w:color w:val="000000" w:themeColor="text1"/>
              </w:rPr>
            </w:pPr>
            <w:proofErr w:type="spellStart"/>
            <w:r w:rsidRPr="001539D2">
              <w:rPr>
                <w:b/>
                <w:bCs/>
                <w:color w:val="000000" w:themeColor="text1"/>
              </w:rPr>
              <w:t>Дифференцировочный</w:t>
            </w:r>
            <w:proofErr w:type="spellEnd"/>
            <w:r w:rsidRPr="001539D2">
              <w:rPr>
                <w:b/>
                <w:bCs/>
                <w:color w:val="000000" w:themeColor="text1"/>
              </w:rPr>
              <w:t xml:space="preserve"> антиген</w:t>
            </w:r>
          </w:p>
        </w:tc>
        <w:tc>
          <w:tcPr>
            <w:tcW w:w="2097" w:type="dxa"/>
          </w:tcPr>
          <w:p w14:paraId="6ACABBFE" w14:textId="188C8788" w:rsidR="001A2A06" w:rsidRPr="001539D2" w:rsidRDefault="001A2A06" w:rsidP="008F4566">
            <w:pPr>
              <w:jc w:val="both"/>
              <w:rPr>
                <w:b/>
                <w:bCs/>
                <w:color w:val="000000" w:themeColor="text1"/>
              </w:rPr>
            </w:pPr>
            <w:r w:rsidRPr="001539D2">
              <w:rPr>
                <w:b/>
                <w:bCs/>
                <w:color w:val="000000" w:themeColor="text1"/>
              </w:rPr>
              <w:t>Причина продукции антигена опухолью</w:t>
            </w:r>
          </w:p>
        </w:tc>
      </w:tr>
      <w:tr w:rsidR="001A2A06" w:rsidRPr="001539D2" w14:paraId="49EB7983" w14:textId="77777777" w:rsidTr="001539D2">
        <w:trPr>
          <w:trHeight w:val="845"/>
        </w:trPr>
        <w:tc>
          <w:tcPr>
            <w:tcW w:w="3722" w:type="dxa"/>
          </w:tcPr>
          <w:p w14:paraId="1714AD70" w14:textId="71AF58A1" w:rsidR="001A2A06" w:rsidRPr="001539D2" w:rsidRDefault="001A2A06" w:rsidP="008F4566">
            <w:pPr>
              <w:jc w:val="both"/>
              <w:rPr>
                <w:b/>
                <w:bCs/>
                <w:color w:val="000000" w:themeColor="text1"/>
              </w:rPr>
            </w:pPr>
            <w:proofErr w:type="spellStart"/>
            <w:r w:rsidRPr="001539D2">
              <w:t>Миеломный</w:t>
            </w:r>
            <w:proofErr w:type="spellEnd"/>
            <w:r w:rsidRPr="001539D2">
              <w:t xml:space="preserve"> </w:t>
            </w:r>
            <w:proofErr w:type="spellStart"/>
            <w:r w:rsidRPr="001539D2">
              <w:t>Ig</w:t>
            </w:r>
            <w:proofErr w:type="spellEnd"/>
            <w:r w:rsidRPr="001539D2">
              <w:t xml:space="preserve">, белок </w:t>
            </w:r>
            <w:proofErr w:type="spellStart"/>
            <w:r w:rsidRPr="001539D2">
              <w:t>Бенс</w:t>
            </w:r>
            <w:proofErr w:type="spellEnd"/>
            <w:r w:rsidRPr="001539D2">
              <w:t>-Джонса</w:t>
            </w:r>
          </w:p>
        </w:tc>
        <w:tc>
          <w:tcPr>
            <w:tcW w:w="2524" w:type="dxa"/>
          </w:tcPr>
          <w:p w14:paraId="0F4E6281" w14:textId="2EE79827" w:rsidR="001A2A06" w:rsidRPr="001539D2" w:rsidRDefault="001A2A06" w:rsidP="008F4566">
            <w:pPr>
              <w:jc w:val="both"/>
              <w:rPr>
                <w:b/>
                <w:bCs/>
                <w:color w:val="000000" w:themeColor="text1"/>
              </w:rPr>
            </w:pPr>
            <w:proofErr w:type="spellStart"/>
            <w:r w:rsidRPr="001539D2">
              <w:t>Плазмоцитома</w:t>
            </w:r>
            <w:proofErr w:type="spellEnd"/>
            <w:r w:rsidRPr="001539D2">
              <w:t xml:space="preserve"> и </w:t>
            </w:r>
            <w:proofErr w:type="gramStart"/>
            <w:r w:rsidRPr="001539D2">
              <w:t>В-клеточные</w:t>
            </w:r>
            <w:proofErr w:type="gramEnd"/>
            <w:r w:rsidRPr="001539D2">
              <w:t xml:space="preserve"> лейкозы</w:t>
            </w:r>
          </w:p>
        </w:tc>
        <w:tc>
          <w:tcPr>
            <w:tcW w:w="2968" w:type="dxa"/>
          </w:tcPr>
          <w:p w14:paraId="4D25A6E9" w14:textId="0F8D455D" w:rsidR="001A2A06" w:rsidRPr="001539D2" w:rsidRDefault="001A2A06" w:rsidP="008F4566">
            <w:pPr>
              <w:jc w:val="both"/>
              <w:rPr>
                <w:b/>
                <w:bCs/>
                <w:color w:val="000000" w:themeColor="text1"/>
              </w:rPr>
            </w:pPr>
            <w:proofErr w:type="spellStart"/>
            <w:r w:rsidRPr="001539D2">
              <w:t>Моноклональные</w:t>
            </w:r>
            <w:proofErr w:type="spellEnd"/>
            <w:r w:rsidRPr="001539D2">
              <w:t xml:space="preserve"> плазматические клетки и клоны В-лимфоцитов</w:t>
            </w:r>
          </w:p>
        </w:tc>
        <w:tc>
          <w:tcPr>
            <w:tcW w:w="2097" w:type="dxa"/>
          </w:tcPr>
          <w:p w14:paraId="38810D64" w14:textId="28D125F1" w:rsidR="001A2A06" w:rsidRPr="001539D2" w:rsidRDefault="001A2A06" w:rsidP="008F4566">
            <w:pPr>
              <w:jc w:val="both"/>
              <w:rPr>
                <w:b/>
                <w:bCs/>
                <w:color w:val="000000" w:themeColor="text1"/>
              </w:rPr>
            </w:pPr>
            <w:r w:rsidRPr="001539D2">
              <w:t>Сохранение нормальной функции</w:t>
            </w:r>
          </w:p>
        </w:tc>
      </w:tr>
      <w:tr w:rsidR="001A2A06" w:rsidRPr="001539D2" w14:paraId="485E6BB9" w14:textId="77777777" w:rsidTr="001539D2">
        <w:trPr>
          <w:trHeight w:val="2810"/>
        </w:trPr>
        <w:tc>
          <w:tcPr>
            <w:tcW w:w="3722" w:type="dxa"/>
          </w:tcPr>
          <w:p w14:paraId="69A17BAA" w14:textId="1F23C0DD" w:rsidR="001A2A06" w:rsidRPr="001539D2" w:rsidRDefault="001A2A06" w:rsidP="008F4566">
            <w:pPr>
              <w:jc w:val="both"/>
              <w:rPr>
                <w:b/>
                <w:bCs/>
                <w:color w:val="000000" w:themeColor="text1"/>
              </w:rPr>
            </w:pPr>
            <w:proofErr w:type="spellStart"/>
            <w:r w:rsidRPr="001539D2">
              <w:t>Альфафетопротеин</w:t>
            </w:r>
            <w:proofErr w:type="spellEnd"/>
            <w:r w:rsidRPr="001539D2">
              <w:t xml:space="preserve"> (АФП)</w:t>
            </w:r>
          </w:p>
        </w:tc>
        <w:tc>
          <w:tcPr>
            <w:tcW w:w="2524" w:type="dxa"/>
          </w:tcPr>
          <w:p w14:paraId="3E20D0A4" w14:textId="41BA4409" w:rsidR="001A2A06" w:rsidRPr="001539D2" w:rsidRDefault="001A2A06" w:rsidP="008F4566">
            <w:pPr>
              <w:jc w:val="both"/>
            </w:pPr>
            <w:r w:rsidRPr="001539D2">
              <w:t>1.</w:t>
            </w:r>
            <w:r w:rsidRPr="001539D2">
              <w:t>Терминальные опухоли</w:t>
            </w:r>
          </w:p>
          <w:p w14:paraId="3DF0F87E" w14:textId="21D0DDE5" w:rsidR="001A2A06" w:rsidRPr="001539D2" w:rsidRDefault="001A2A06" w:rsidP="008F4566">
            <w:pPr>
              <w:jc w:val="both"/>
            </w:pPr>
            <w:r w:rsidRPr="001539D2">
              <w:t>2.</w:t>
            </w:r>
            <w:r w:rsidRPr="001539D2">
              <w:t>Гепатобластома</w:t>
            </w:r>
          </w:p>
          <w:p w14:paraId="73122A3B" w14:textId="64DD5EC0" w:rsidR="001A2A06" w:rsidRPr="001539D2" w:rsidRDefault="001A2A06" w:rsidP="008F4566">
            <w:pPr>
              <w:jc w:val="both"/>
              <w:rPr>
                <w:b/>
                <w:bCs/>
                <w:color w:val="000000" w:themeColor="text1"/>
              </w:rPr>
            </w:pPr>
            <w:r w:rsidRPr="001539D2">
              <w:t>3.</w:t>
            </w:r>
            <w:r w:rsidRPr="001539D2">
              <w:t>Гепатоцеллюлярный рак</w:t>
            </w:r>
          </w:p>
        </w:tc>
        <w:tc>
          <w:tcPr>
            <w:tcW w:w="2968" w:type="dxa"/>
          </w:tcPr>
          <w:p w14:paraId="2AB25A8C" w14:textId="1B88CD4F" w:rsidR="001A2A06" w:rsidRPr="001539D2" w:rsidRDefault="001A2A06" w:rsidP="008F4566">
            <w:pPr>
              <w:jc w:val="both"/>
            </w:pPr>
            <w:r w:rsidRPr="001539D2">
              <w:t>1.</w:t>
            </w:r>
            <w:r w:rsidRPr="001539D2">
              <w:t>Висцеральная энтодерма желточного мешка</w:t>
            </w:r>
          </w:p>
          <w:p w14:paraId="15D6D85C" w14:textId="2B15C62C" w:rsidR="001A2A06" w:rsidRPr="001539D2" w:rsidRDefault="001A2A06" w:rsidP="008F4566">
            <w:pPr>
              <w:jc w:val="both"/>
            </w:pPr>
            <w:r w:rsidRPr="001539D2">
              <w:t>2.</w:t>
            </w:r>
            <w:r w:rsidRPr="001539D2">
              <w:t>Гепатобласт</w:t>
            </w:r>
          </w:p>
          <w:p w14:paraId="1AEB14D8" w14:textId="7D60546E" w:rsidR="001A2A06" w:rsidRPr="001539D2" w:rsidRDefault="001A2A06" w:rsidP="008F4566">
            <w:pPr>
              <w:jc w:val="both"/>
              <w:rPr>
                <w:b/>
                <w:bCs/>
                <w:color w:val="000000" w:themeColor="text1"/>
              </w:rPr>
            </w:pPr>
            <w:r w:rsidRPr="001539D2">
              <w:t>3.</w:t>
            </w:r>
            <w:r w:rsidRPr="001539D2">
              <w:t xml:space="preserve">Фетальный </w:t>
            </w:r>
            <w:proofErr w:type="spellStart"/>
            <w:r w:rsidRPr="001539D2">
              <w:t>гепатоцит</w:t>
            </w:r>
            <w:proofErr w:type="spellEnd"/>
          </w:p>
        </w:tc>
        <w:tc>
          <w:tcPr>
            <w:tcW w:w="2097" w:type="dxa"/>
          </w:tcPr>
          <w:p w14:paraId="10DCB150" w14:textId="77777777" w:rsidR="001A2A06" w:rsidRPr="001539D2" w:rsidRDefault="001A2A06" w:rsidP="008F4566">
            <w:pPr>
              <w:jc w:val="both"/>
            </w:pPr>
            <w:r w:rsidRPr="001539D2">
              <w:t>1.</w:t>
            </w:r>
            <w:r w:rsidRPr="001539D2">
              <w:t>Сохранение нормальной функции</w:t>
            </w:r>
          </w:p>
          <w:p w14:paraId="5437D7A0" w14:textId="77777777" w:rsidR="001A2A06" w:rsidRPr="001539D2" w:rsidRDefault="001A2A06" w:rsidP="008F4566">
            <w:pPr>
              <w:jc w:val="both"/>
            </w:pPr>
            <w:r w:rsidRPr="001539D2">
              <w:t xml:space="preserve">2. </w:t>
            </w:r>
            <w:r w:rsidRPr="001539D2">
              <w:t>Сохранение нормальной функции</w:t>
            </w:r>
          </w:p>
          <w:p w14:paraId="478B5C3D" w14:textId="456B5B4D" w:rsidR="001A2A06" w:rsidRPr="001539D2" w:rsidRDefault="001A2A06" w:rsidP="008F4566">
            <w:pPr>
              <w:jc w:val="both"/>
              <w:rPr>
                <w:b/>
                <w:bCs/>
                <w:color w:val="000000" w:themeColor="text1"/>
              </w:rPr>
            </w:pPr>
            <w:r w:rsidRPr="001539D2">
              <w:t xml:space="preserve">3. </w:t>
            </w:r>
            <w:r w:rsidRPr="001539D2">
              <w:t>Возобновление эмбрионального синтеза</w:t>
            </w:r>
          </w:p>
        </w:tc>
      </w:tr>
      <w:tr w:rsidR="001A2A06" w:rsidRPr="001539D2" w14:paraId="3FCC19DA" w14:textId="77777777" w:rsidTr="001539D2">
        <w:trPr>
          <w:trHeight w:val="1689"/>
        </w:trPr>
        <w:tc>
          <w:tcPr>
            <w:tcW w:w="3722" w:type="dxa"/>
          </w:tcPr>
          <w:p w14:paraId="695770B2" w14:textId="1E5DE600" w:rsidR="001A2A06" w:rsidRPr="001539D2" w:rsidRDefault="001A2A06" w:rsidP="008F4566">
            <w:pPr>
              <w:jc w:val="both"/>
              <w:rPr>
                <w:b/>
                <w:bCs/>
                <w:color w:val="000000" w:themeColor="text1"/>
              </w:rPr>
            </w:pPr>
            <w:proofErr w:type="spellStart"/>
            <w:r w:rsidRPr="001539D2">
              <w:t>Раковоэмбриональный</w:t>
            </w:r>
            <w:proofErr w:type="spellEnd"/>
            <w:r w:rsidRPr="001539D2">
              <w:t xml:space="preserve"> антиген (РЭА)</w:t>
            </w:r>
          </w:p>
        </w:tc>
        <w:tc>
          <w:tcPr>
            <w:tcW w:w="2524" w:type="dxa"/>
          </w:tcPr>
          <w:p w14:paraId="5A8B4A5C" w14:textId="295B2382" w:rsidR="001A2A06" w:rsidRPr="001539D2" w:rsidRDefault="001A2A06" w:rsidP="008F4566">
            <w:pPr>
              <w:jc w:val="both"/>
              <w:rPr>
                <w:b/>
                <w:bCs/>
                <w:color w:val="000000" w:themeColor="text1"/>
              </w:rPr>
            </w:pPr>
            <w:proofErr w:type="spellStart"/>
            <w:r w:rsidRPr="001539D2">
              <w:t>Колоректальные</w:t>
            </w:r>
            <w:proofErr w:type="spellEnd"/>
            <w:r w:rsidRPr="001539D2">
              <w:t xml:space="preserve"> опухоли</w:t>
            </w:r>
          </w:p>
        </w:tc>
        <w:tc>
          <w:tcPr>
            <w:tcW w:w="2968" w:type="dxa"/>
          </w:tcPr>
          <w:p w14:paraId="2CB08244" w14:textId="05433C90" w:rsidR="001A2A06" w:rsidRPr="001539D2" w:rsidRDefault="001A2A06" w:rsidP="008F4566">
            <w:pPr>
              <w:jc w:val="both"/>
              <w:rPr>
                <w:b/>
                <w:bCs/>
                <w:color w:val="000000" w:themeColor="text1"/>
              </w:rPr>
            </w:pPr>
            <w:proofErr w:type="spellStart"/>
            <w:r w:rsidRPr="001539D2">
              <w:t>Гликокаликс</w:t>
            </w:r>
            <w:proofErr w:type="spellEnd"/>
            <w:r w:rsidRPr="001539D2">
              <w:t xml:space="preserve"> фетального и взрослого кишечного эпителия</w:t>
            </w:r>
          </w:p>
        </w:tc>
        <w:tc>
          <w:tcPr>
            <w:tcW w:w="2097" w:type="dxa"/>
          </w:tcPr>
          <w:p w14:paraId="0A823230" w14:textId="3DCEB196" w:rsidR="001A2A06" w:rsidRPr="001539D2" w:rsidRDefault="001A2A06" w:rsidP="008F4566">
            <w:pPr>
              <w:jc w:val="both"/>
              <w:rPr>
                <w:b/>
                <w:bCs/>
                <w:color w:val="000000" w:themeColor="text1"/>
              </w:rPr>
            </w:pPr>
            <w:r w:rsidRPr="001539D2">
              <w:t>Избыточная продукция и нарушение нормальной локализации в клетке</w:t>
            </w:r>
          </w:p>
        </w:tc>
      </w:tr>
      <w:tr w:rsidR="001A2A06" w:rsidRPr="001539D2" w14:paraId="1F97C3FB" w14:textId="77777777" w:rsidTr="001539D2">
        <w:trPr>
          <w:trHeight w:val="568"/>
        </w:trPr>
        <w:tc>
          <w:tcPr>
            <w:tcW w:w="3722" w:type="dxa"/>
          </w:tcPr>
          <w:p w14:paraId="1408A5CD" w14:textId="581D3CF4" w:rsidR="001A2A06" w:rsidRPr="001539D2" w:rsidRDefault="001A2A06" w:rsidP="008F4566">
            <w:pPr>
              <w:jc w:val="both"/>
              <w:rPr>
                <w:b/>
                <w:bCs/>
                <w:color w:val="000000" w:themeColor="text1"/>
              </w:rPr>
            </w:pPr>
            <w:r w:rsidRPr="001539D2">
              <w:t>СА-125</w:t>
            </w:r>
          </w:p>
        </w:tc>
        <w:tc>
          <w:tcPr>
            <w:tcW w:w="2524" w:type="dxa"/>
          </w:tcPr>
          <w:p w14:paraId="2ACD68A4" w14:textId="3E1A1528" w:rsidR="001A2A06" w:rsidRPr="001539D2" w:rsidRDefault="001A2A06" w:rsidP="008F4566">
            <w:pPr>
              <w:jc w:val="both"/>
              <w:rPr>
                <w:b/>
                <w:bCs/>
                <w:color w:val="000000" w:themeColor="text1"/>
              </w:rPr>
            </w:pPr>
            <w:r w:rsidRPr="001539D2">
              <w:t>Рак яичников</w:t>
            </w:r>
          </w:p>
        </w:tc>
        <w:tc>
          <w:tcPr>
            <w:tcW w:w="2968" w:type="dxa"/>
          </w:tcPr>
          <w:p w14:paraId="253413C7" w14:textId="7A7FBDAB" w:rsidR="001A2A06" w:rsidRPr="001539D2" w:rsidRDefault="001A2A06" w:rsidP="008F4566">
            <w:pPr>
              <w:jc w:val="both"/>
              <w:rPr>
                <w:b/>
                <w:bCs/>
                <w:color w:val="000000" w:themeColor="text1"/>
              </w:rPr>
            </w:pPr>
            <w:r w:rsidRPr="001539D2">
              <w:t xml:space="preserve">Гликопротеин </w:t>
            </w:r>
            <w:proofErr w:type="spellStart"/>
            <w:r w:rsidRPr="001539D2">
              <w:t>целомического</w:t>
            </w:r>
            <w:proofErr w:type="spellEnd"/>
            <w:r w:rsidRPr="001539D2">
              <w:t xml:space="preserve"> эпителия</w:t>
            </w:r>
          </w:p>
        </w:tc>
        <w:tc>
          <w:tcPr>
            <w:tcW w:w="2097" w:type="dxa"/>
          </w:tcPr>
          <w:p w14:paraId="59E7759C" w14:textId="0353408F" w:rsidR="001A2A06" w:rsidRPr="001539D2" w:rsidRDefault="001A2A06" w:rsidP="008F4566">
            <w:pPr>
              <w:jc w:val="both"/>
              <w:rPr>
                <w:b/>
                <w:bCs/>
                <w:color w:val="000000" w:themeColor="text1"/>
              </w:rPr>
            </w:pPr>
            <w:r w:rsidRPr="001539D2">
              <w:t>Избыточная продукция</w:t>
            </w:r>
          </w:p>
        </w:tc>
      </w:tr>
      <w:tr w:rsidR="001A2A06" w:rsidRPr="001539D2" w14:paraId="35B649B6" w14:textId="77777777" w:rsidTr="001539D2">
        <w:trPr>
          <w:trHeight w:val="1121"/>
        </w:trPr>
        <w:tc>
          <w:tcPr>
            <w:tcW w:w="3722" w:type="dxa"/>
          </w:tcPr>
          <w:p w14:paraId="1C4633A6" w14:textId="1D663AA1" w:rsidR="001A2A06" w:rsidRPr="001539D2" w:rsidRDefault="001A2A06" w:rsidP="008F4566">
            <w:pPr>
              <w:jc w:val="both"/>
              <w:rPr>
                <w:b/>
                <w:bCs/>
                <w:color w:val="000000" w:themeColor="text1"/>
              </w:rPr>
            </w:pPr>
            <w:r w:rsidRPr="001539D2">
              <w:t>Антиген простаты (PSA)</w:t>
            </w:r>
          </w:p>
        </w:tc>
        <w:tc>
          <w:tcPr>
            <w:tcW w:w="2524" w:type="dxa"/>
          </w:tcPr>
          <w:p w14:paraId="4C383B60" w14:textId="0A61C664" w:rsidR="001A2A06" w:rsidRPr="001539D2" w:rsidRDefault="001A2A06" w:rsidP="008F4566">
            <w:pPr>
              <w:jc w:val="both"/>
              <w:rPr>
                <w:b/>
                <w:bCs/>
                <w:color w:val="000000" w:themeColor="text1"/>
              </w:rPr>
            </w:pPr>
            <w:r w:rsidRPr="001539D2">
              <w:t>Рак простаты</w:t>
            </w:r>
          </w:p>
        </w:tc>
        <w:tc>
          <w:tcPr>
            <w:tcW w:w="2968" w:type="dxa"/>
          </w:tcPr>
          <w:p w14:paraId="244AA413" w14:textId="5A87F91B" w:rsidR="001A2A06" w:rsidRPr="001539D2" w:rsidRDefault="001A2A06" w:rsidP="008F4566">
            <w:pPr>
              <w:jc w:val="both"/>
              <w:rPr>
                <w:b/>
                <w:bCs/>
                <w:color w:val="000000" w:themeColor="text1"/>
              </w:rPr>
            </w:pPr>
            <w:r w:rsidRPr="001539D2">
              <w:t>Специфическая протеаза простаты</w:t>
            </w:r>
          </w:p>
        </w:tc>
        <w:tc>
          <w:tcPr>
            <w:tcW w:w="2097" w:type="dxa"/>
          </w:tcPr>
          <w:p w14:paraId="5E852A58" w14:textId="733F5F2E" w:rsidR="001A2A06" w:rsidRPr="001539D2" w:rsidRDefault="001A2A06" w:rsidP="008F4566">
            <w:pPr>
              <w:jc w:val="both"/>
              <w:rPr>
                <w:b/>
                <w:bCs/>
                <w:color w:val="000000" w:themeColor="text1"/>
              </w:rPr>
            </w:pPr>
            <w:r w:rsidRPr="001539D2">
              <w:t>Избыточная продукция и нарушение путей секреции</w:t>
            </w:r>
          </w:p>
        </w:tc>
      </w:tr>
      <w:tr w:rsidR="001A2A06" w:rsidRPr="001539D2" w14:paraId="214ED643" w14:textId="77777777" w:rsidTr="001539D2">
        <w:trPr>
          <w:trHeight w:val="1413"/>
        </w:trPr>
        <w:tc>
          <w:tcPr>
            <w:tcW w:w="3722" w:type="dxa"/>
          </w:tcPr>
          <w:p w14:paraId="2D36997E" w14:textId="03AD8A49" w:rsidR="001A2A06" w:rsidRPr="001539D2" w:rsidRDefault="001A2A06" w:rsidP="008F4566">
            <w:pPr>
              <w:jc w:val="both"/>
              <w:rPr>
                <w:b/>
                <w:bCs/>
                <w:color w:val="000000" w:themeColor="text1"/>
              </w:rPr>
            </w:pPr>
            <w:r w:rsidRPr="001539D2">
              <w:t>Хорионический гонадотропин (β-цепь)</w:t>
            </w:r>
          </w:p>
        </w:tc>
        <w:tc>
          <w:tcPr>
            <w:tcW w:w="2524" w:type="dxa"/>
          </w:tcPr>
          <w:p w14:paraId="22AB5077" w14:textId="759EA497" w:rsidR="001A2A06" w:rsidRPr="001539D2" w:rsidRDefault="001A2A06" w:rsidP="008F4566">
            <w:pPr>
              <w:jc w:val="both"/>
              <w:rPr>
                <w:b/>
                <w:bCs/>
                <w:color w:val="000000" w:themeColor="text1"/>
              </w:rPr>
            </w:pPr>
            <w:proofErr w:type="spellStart"/>
            <w:r w:rsidRPr="001539D2">
              <w:t>Герминальные</w:t>
            </w:r>
            <w:proofErr w:type="spellEnd"/>
            <w:r w:rsidRPr="001539D2">
              <w:t xml:space="preserve"> опухоли, </w:t>
            </w:r>
            <w:proofErr w:type="spellStart"/>
            <w:r w:rsidRPr="001539D2">
              <w:t>хорионэпителиомы</w:t>
            </w:r>
            <w:proofErr w:type="spellEnd"/>
            <w:r w:rsidRPr="001539D2">
              <w:t xml:space="preserve"> (ХЭ)</w:t>
            </w:r>
          </w:p>
        </w:tc>
        <w:tc>
          <w:tcPr>
            <w:tcW w:w="2968" w:type="dxa"/>
          </w:tcPr>
          <w:p w14:paraId="213AA8F8" w14:textId="0E463785" w:rsidR="001A2A06" w:rsidRPr="001539D2" w:rsidRDefault="001A2A06" w:rsidP="008F4566">
            <w:pPr>
              <w:jc w:val="both"/>
              <w:rPr>
                <w:b/>
                <w:bCs/>
                <w:color w:val="000000" w:themeColor="text1"/>
              </w:rPr>
            </w:pPr>
            <w:r w:rsidRPr="001539D2">
              <w:t>Специфический гормон хориона</w:t>
            </w:r>
          </w:p>
        </w:tc>
        <w:tc>
          <w:tcPr>
            <w:tcW w:w="2097" w:type="dxa"/>
          </w:tcPr>
          <w:p w14:paraId="6270ED5C" w14:textId="13A45784" w:rsidR="001A2A06" w:rsidRPr="001539D2" w:rsidRDefault="001A2A06" w:rsidP="008F4566">
            <w:pPr>
              <w:jc w:val="both"/>
              <w:rPr>
                <w:b/>
                <w:bCs/>
                <w:color w:val="000000" w:themeColor="text1"/>
              </w:rPr>
            </w:pPr>
            <w:r w:rsidRPr="001539D2">
              <w:t>Сохранение нормальной функции ХЭ элементов опухоли</w:t>
            </w:r>
          </w:p>
        </w:tc>
      </w:tr>
      <w:tr w:rsidR="001A2A06" w:rsidRPr="001539D2" w14:paraId="20A82392" w14:textId="77777777" w:rsidTr="001539D2">
        <w:trPr>
          <w:trHeight w:val="1136"/>
        </w:trPr>
        <w:tc>
          <w:tcPr>
            <w:tcW w:w="3722" w:type="dxa"/>
          </w:tcPr>
          <w:p w14:paraId="687E9B22" w14:textId="16A3F334" w:rsidR="001539D2" w:rsidRPr="001539D2" w:rsidRDefault="001A2A06" w:rsidP="008F4566">
            <w:pPr>
              <w:jc w:val="both"/>
              <w:rPr>
                <w:b/>
                <w:bCs/>
                <w:color w:val="000000" w:themeColor="text1"/>
              </w:rPr>
            </w:pPr>
            <w:proofErr w:type="spellStart"/>
            <w:r w:rsidRPr="001539D2">
              <w:t>Her</w:t>
            </w:r>
            <w:proofErr w:type="spellEnd"/>
            <w:r w:rsidRPr="001539D2">
              <w:t xml:space="preserve"> 2/</w:t>
            </w:r>
            <w:proofErr w:type="spellStart"/>
            <w:r w:rsidRPr="001539D2">
              <w:t>neu</w:t>
            </w:r>
            <w:proofErr w:type="spellEnd"/>
          </w:p>
          <w:p w14:paraId="2AB5C332" w14:textId="77777777" w:rsidR="001A2A06" w:rsidRPr="001539D2" w:rsidRDefault="001A2A06" w:rsidP="001539D2">
            <w:pPr>
              <w:jc w:val="center"/>
            </w:pPr>
          </w:p>
        </w:tc>
        <w:tc>
          <w:tcPr>
            <w:tcW w:w="2524" w:type="dxa"/>
          </w:tcPr>
          <w:p w14:paraId="5C125C8A" w14:textId="4D73DFC2" w:rsidR="001A2A06" w:rsidRPr="001539D2" w:rsidRDefault="001A2A06" w:rsidP="008F4566">
            <w:pPr>
              <w:jc w:val="both"/>
              <w:rPr>
                <w:b/>
                <w:bCs/>
                <w:color w:val="000000" w:themeColor="text1"/>
              </w:rPr>
            </w:pPr>
            <w:r w:rsidRPr="001539D2">
              <w:t>Рак молочной железы</w:t>
            </w:r>
          </w:p>
        </w:tc>
        <w:tc>
          <w:tcPr>
            <w:tcW w:w="2968" w:type="dxa"/>
          </w:tcPr>
          <w:p w14:paraId="4774F745" w14:textId="0599FDC9" w:rsidR="001A2A06" w:rsidRPr="001539D2" w:rsidRDefault="001A2A06" w:rsidP="008F4566">
            <w:pPr>
              <w:jc w:val="both"/>
              <w:rPr>
                <w:b/>
                <w:bCs/>
                <w:color w:val="000000" w:themeColor="text1"/>
              </w:rPr>
            </w:pPr>
            <w:r w:rsidRPr="001539D2">
              <w:t xml:space="preserve">Рецептор к </w:t>
            </w:r>
            <w:proofErr w:type="spellStart"/>
            <w:r w:rsidRPr="001539D2">
              <w:t>эпидермальному</w:t>
            </w:r>
            <w:proofErr w:type="spellEnd"/>
            <w:r w:rsidRPr="001539D2">
              <w:t xml:space="preserve"> ростовому фактору (растворимая форма)</w:t>
            </w:r>
          </w:p>
        </w:tc>
        <w:tc>
          <w:tcPr>
            <w:tcW w:w="2097" w:type="dxa"/>
          </w:tcPr>
          <w:p w14:paraId="6D3EE370" w14:textId="7B64282C" w:rsidR="001A2A06" w:rsidRPr="001539D2" w:rsidRDefault="001A2A06" w:rsidP="008F4566">
            <w:pPr>
              <w:jc w:val="both"/>
              <w:rPr>
                <w:b/>
                <w:bCs/>
                <w:color w:val="000000" w:themeColor="text1"/>
              </w:rPr>
            </w:pPr>
            <w:proofErr w:type="spellStart"/>
            <w:r w:rsidRPr="001539D2">
              <w:t>Гиперпродукция</w:t>
            </w:r>
            <w:proofErr w:type="spellEnd"/>
            <w:r w:rsidRPr="001539D2">
              <w:t xml:space="preserve"> опухолью</w:t>
            </w:r>
          </w:p>
        </w:tc>
      </w:tr>
      <w:tr w:rsidR="001539D2" w:rsidRPr="001539D2" w14:paraId="55B359C9" w14:textId="77777777" w:rsidTr="001539D2">
        <w:trPr>
          <w:trHeight w:val="1136"/>
        </w:trPr>
        <w:tc>
          <w:tcPr>
            <w:tcW w:w="3722" w:type="dxa"/>
          </w:tcPr>
          <w:p w14:paraId="34E320BE" w14:textId="4463EF28" w:rsidR="001539D2" w:rsidRPr="001539D2" w:rsidRDefault="001539D2" w:rsidP="008F4566">
            <w:pPr>
              <w:jc w:val="both"/>
            </w:pPr>
            <w:proofErr w:type="spellStart"/>
            <w:r w:rsidRPr="001539D2">
              <w:t>Дифференцировочные</w:t>
            </w:r>
            <w:proofErr w:type="spellEnd"/>
            <w:r w:rsidRPr="001539D2">
              <w:t xml:space="preserve"> антигены гемопоэтических клеток (CD-антигены)</w:t>
            </w:r>
          </w:p>
        </w:tc>
        <w:tc>
          <w:tcPr>
            <w:tcW w:w="2524" w:type="dxa"/>
          </w:tcPr>
          <w:p w14:paraId="086BE9F3" w14:textId="7F45C9E3" w:rsidR="001539D2" w:rsidRPr="001539D2" w:rsidRDefault="001539D2" w:rsidP="008F4566">
            <w:pPr>
              <w:jc w:val="both"/>
            </w:pPr>
            <w:r w:rsidRPr="001539D2">
              <w:t>Различные формы опухолей кроветворной ткани</w:t>
            </w:r>
          </w:p>
        </w:tc>
        <w:tc>
          <w:tcPr>
            <w:tcW w:w="2968" w:type="dxa"/>
          </w:tcPr>
          <w:p w14:paraId="2EFAC959" w14:textId="52BDAA25" w:rsidR="001539D2" w:rsidRPr="001539D2" w:rsidRDefault="001539D2" w:rsidP="008F4566">
            <w:pPr>
              <w:jc w:val="both"/>
            </w:pPr>
            <w:r w:rsidRPr="001539D2">
              <w:t>CD-маркеры клеток крови разных направлений и стадий дифференцировки</w:t>
            </w:r>
          </w:p>
        </w:tc>
        <w:tc>
          <w:tcPr>
            <w:tcW w:w="2097" w:type="dxa"/>
          </w:tcPr>
          <w:p w14:paraId="660B2C67" w14:textId="30567FD8" w:rsidR="001539D2" w:rsidRPr="001539D2" w:rsidRDefault="001539D2" w:rsidP="008F4566">
            <w:pPr>
              <w:jc w:val="both"/>
            </w:pPr>
            <w:r w:rsidRPr="001539D2">
              <w:t>Замороженные стадии дифференцировки</w:t>
            </w:r>
          </w:p>
        </w:tc>
      </w:tr>
    </w:tbl>
    <w:p w14:paraId="0F145E4D" w14:textId="77777777" w:rsidR="001A2A06" w:rsidRPr="001539D2" w:rsidRDefault="001A2A06" w:rsidP="008F4566">
      <w:pPr>
        <w:jc w:val="both"/>
        <w:rPr>
          <w:b/>
          <w:bCs/>
          <w:color w:val="000000" w:themeColor="text1"/>
          <w:sz w:val="28"/>
          <w:szCs w:val="28"/>
        </w:rPr>
      </w:pPr>
    </w:p>
    <w:p w14:paraId="0DC0D359" w14:textId="77777777" w:rsidR="001539D2" w:rsidRDefault="001539D2" w:rsidP="008F4566">
      <w:pPr>
        <w:jc w:val="both"/>
        <w:rPr>
          <w:sz w:val="28"/>
          <w:szCs w:val="28"/>
        </w:rPr>
      </w:pPr>
    </w:p>
    <w:p w14:paraId="3978C32A" w14:textId="77777777" w:rsidR="001539D2" w:rsidRDefault="001539D2" w:rsidP="008F4566">
      <w:pPr>
        <w:jc w:val="both"/>
        <w:rPr>
          <w:sz w:val="28"/>
          <w:szCs w:val="28"/>
        </w:rPr>
      </w:pPr>
    </w:p>
    <w:p w14:paraId="01735219" w14:textId="35196B68" w:rsidR="001539D2" w:rsidRPr="001539D2" w:rsidRDefault="001539D2" w:rsidP="008F4566">
      <w:pPr>
        <w:jc w:val="both"/>
        <w:rPr>
          <w:sz w:val="28"/>
          <w:szCs w:val="28"/>
        </w:rPr>
      </w:pPr>
      <w:r w:rsidRPr="001539D2">
        <w:rPr>
          <w:sz w:val="28"/>
          <w:szCs w:val="28"/>
        </w:rPr>
        <w:t xml:space="preserve">Современная классификация </w:t>
      </w:r>
      <w:proofErr w:type="spellStart"/>
      <w:r w:rsidRPr="001539D2">
        <w:rPr>
          <w:sz w:val="28"/>
          <w:szCs w:val="28"/>
        </w:rPr>
        <w:t>дифференцировочных</w:t>
      </w:r>
      <w:proofErr w:type="spellEnd"/>
      <w:r w:rsidRPr="001539D2">
        <w:rPr>
          <w:sz w:val="28"/>
          <w:szCs w:val="28"/>
        </w:rPr>
        <w:t xml:space="preserve"> антигенов этого типа основана на </w:t>
      </w:r>
      <w:proofErr w:type="spellStart"/>
      <w:r w:rsidRPr="001539D2">
        <w:rPr>
          <w:sz w:val="28"/>
          <w:szCs w:val="28"/>
        </w:rPr>
        <w:t>моноклональных</w:t>
      </w:r>
      <w:proofErr w:type="spellEnd"/>
      <w:r w:rsidRPr="001539D2">
        <w:rPr>
          <w:sz w:val="28"/>
          <w:szCs w:val="28"/>
        </w:rPr>
        <w:t xml:space="preserve"> антителах. В случае лейкозов речь идет о </w:t>
      </w:r>
      <w:proofErr w:type="spellStart"/>
      <w:r w:rsidRPr="001539D2">
        <w:rPr>
          <w:sz w:val="28"/>
          <w:szCs w:val="28"/>
        </w:rPr>
        <w:t>дифференцировочных</w:t>
      </w:r>
      <w:proofErr w:type="spellEnd"/>
      <w:r w:rsidRPr="001539D2">
        <w:rPr>
          <w:sz w:val="28"/>
          <w:szCs w:val="28"/>
        </w:rPr>
        <w:t xml:space="preserve"> антигенах клеточной мембраны, не секретируемых в циркуляцию, но именно опухоли этой группы дали первый пример серологического маркера самой высокой специфичности. Речь идет о </w:t>
      </w:r>
      <w:proofErr w:type="spellStart"/>
      <w:r w:rsidRPr="001539D2">
        <w:rPr>
          <w:sz w:val="28"/>
          <w:szCs w:val="28"/>
        </w:rPr>
        <w:t>моноклональных</w:t>
      </w:r>
      <w:proofErr w:type="spellEnd"/>
      <w:r w:rsidRPr="001539D2">
        <w:rPr>
          <w:sz w:val="28"/>
          <w:szCs w:val="28"/>
        </w:rPr>
        <w:t xml:space="preserve"> иммуноглобулинах (</w:t>
      </w:r>
      <w:proofErr w:type="spellStart"/>
      <w:r w:rsidRPr="001539D2">
        <w:rPr>
          <w:sz w:val="28"/>
          <w:szCs w:val="28"/>
        </w:rPr>
        <w:t>Mlg</w:t>
      </w:r>
      <w:proofErr w:type="spellEnd"/>
      <w:r w:rsidRPr="001539D2">
        <w:rPr>
          <w:sz w:val="28"/>
          <w:szCs w:val="28"/>
        </w:rPr>
        <w:t xml:space="preserve">) и белке </w:t>
      </w:r>
      <w:proofErr w:type="spellStart"/>
      <w:r w:rsidRPr="001539D2">
        <w:rPr>
          <w:sz w:val="28"/>
          <w:szCs w:val="28"/>
        </w:rPr>
        <w:t>Бенс</w:t>
      </w:r>
      <w:proofErr w:type="spellEnd"/>
      <w:r w:rsidRPr="001539D2">
        <w:rPr>
          <w:sz w:val="28"/>
          <w:szCs w:val="28"/>
        </w:rPr>
        <w:t xml:space="preserve">-Джонса (ББД) − </w:t>
      </w:r>
      <w:proofErr w:type="spellStart"/>
      <w:r w:rsidRPr="001539D2">
        <w:rPr>
          <w:sz w:val="28"/>
          <w:szCs w:val="28"/>
        </w:rPr>
        <w:t>моноклональных</w:t>
      </w:r>
      <w:proofErr w:type="spellEnd"/>
      <w:r w:rsidRPr="001539D2">
        <w:rPr>
          <w:sz w:val="28"/>
          <w:szCs w:val="28"/>
        </w:rPr>
        <w:t xml:space="preserve"> легких (</w:t>
      </w:r>
      <w:proofErr w:type="spellStart"/>
      <w:r w:rsidRPr="001539D2">
        <w:rPr>
          <w:sz w:val="28"/>
          <w:szCs w:val="28"/>
        </w:rPr>
        <w:t>mL</w:t>
      </w:r>
      <w:proofErr w:type="spellEnd"/>
      <w:r w:rsidRPr="001539D2">
        <w:rPr>
          <w:sz w:val="28"/>
          <w:szCs w:val="28"/>
        </w:rPr>
        <w:t xml:space="preserve">) цепях </w:t>
      </w:r>
      <w:proofErr w:type="spellStart"/>
      <w:r w:rsidRPr="001539D2">
        <w:rPr>
          <w:sz w:val="28"/>
          <w:szCs w:val="28"/>
        </w:rPr>
        <w:t>Ig</w:t>
      </w:r>
      <w:proofErr w:type="spellEnd"/>
      <w:r w:rsidRPr="001539D2">
        <w:rPr>
          <w:sz w:val="28"/>
          <w:szCs w:val="28"/>
        </w:rPr>
        <w:t xml:space="preserve">, продуцируемых </w:t>
      </w:r>
      <w:proofErr w:type="spellStart"/>
      <w:r w:rsidRPr="001539D2">
        <w:rPr>
          <w:sz w:val="28"/>
          <w:szCs w:val="28"/>
        </w:rPr>
        <w:t>плазмоцитомами</w:t>
      </w:r>
      <w:proofErr w:type="spellEnd"/>
      <w:r w:rsidRPr="001539D2">
        <w:rPr>
          <w:sz w:val="28"/>
          <w:szCs w:val="28"/>
        </w:rPr>
        <w:t xml:space="preserve"> и секретируемых ими в кровь. Поскольку опухоли, в том числе и </w:t>
      </w:r>
      <w:proofErr w:type="spellStart"/>
      <w:r w:rsidRPr="001539D2">
        <w:rPr>
          <w:sz w:val="28"/>
          <w:szCs w:val="28"/>
        </w:rPr>
        <w:t>плазмоцитомы</w:t>
      </w:r>
      <w:proofErr w:type="spellEnd"/>
      <w:r w:rsidRPr="001539D2">
        <w:rPr>
          <w:sz w:val="28"/>
          <w:szCs w:val="28"/>
        </w:rPr>
        <w:t xml:space="preserve">, </w:t>
      </w:r>
      <w:proofErr w:type="spellStart"/>
      <w:r w:rsidRPr="001539D2">
        <w:rPr>
          <w:sz w:val="28"/>
          <w:szCs w:val="28"/>
        </w:rPr>
        <w:t>моноклональны</w:t>
      </w:r>
      <w:proofErr w:type="spellEnd"/>
      <w:r w:rsidRPr="001539D2">
        <w:rPr>
          <w:sz w:val="28"/>
          <w:szCs w:val="28"/>
        </w:rPr>
        <w:t xml:space="preserve">, то их продукт − </w:t>
      </w:r>
      <w:proofErr w:type="spellStart"/>
      <w:r w:rsidRPr="001539D2">
        <w:rPr>
          <w:sz w:val="28"/>
          <w:szCs w:val="28"/>
        </w:rPr>
        <w:t>Mlg</w:t>
      </w:r>
      <w:proofErr w:type="spellEnd"/>
      <w:r w:rsidRPr="001539D2">
        <w:rPr>
          <w:sz w:val="28"/>
          <w:szCs w:val="28"/>
        </w:rPr>
        <w:t xml:space="preserve"> </w:t>
      </w:r>
      <w:r w:rsidRPr="001539D2">
        <w:rPr>
          <w:sz w:val="28"/>
          <w:szCs w:val="28"/>
        </w:rPr>
        <w:sym w:font="Symbol" w:char="F02D"/>
      </w:r>
      <w:r w:rsidRPr="001539D2">
        <w:rPr>
          <w:sz w:val="28"/>
          <w:szCs w:val="28"/>
        </w:rPr>
        <w:t xml:space="preserve"> резко отличается от </w:t>
      </w:r>
      <w:proofErr w:type="spellStart"/>
      <w:r w:rsidRPr="001539D2">
        <w:rPr>
          <w:sz w:val="28"/>
          <w:szCs w:val="28"/>
        </w:rPr>
        <w:t>высокогетерогенных</w:t>
      </w:r>
      <w:proofErr w:type="spellEnd"/>
      <w:r w:rsidRPr="001539D2">
        <w:rPr>
          <w:sz w:val="28"/>
          <w:szCs w:val="28"/>
        </w:rPr>
        <w:t xml:space="preserve"> </w:t>
      </w:r>
      <w:proofErr w:type="spellStart"/>
      <w:r w:rsidRPr="001539D2">
        <w:rPr>
          <w:sz w:val="28"/>
          <w:szCs w:val="28"/>
        </w:rPr>
        <w:t>Ig</w:t>
      </w:r>
      <w:proofErr w:type="spellEnd"/>
      <w:r w:rsidRPr="001539D2">
        <w:rPr>
          <w:sz w:val="28"/>
          <w:szCs w:val="28"/>
        </w:rPr>
        <w:t xml:space="preserve"> нормальной сыворотки крови и служит превосходным маркером этих неоплазий. Динамика </w:t>
      </w:r>
      <w:proofErr w:type="spellStart"/>
      <w:r w:rsidRPr="001539D2">
        <w:rPr>
          <w:sz w:val="28"/>
          <w:szCs w:val="28"/>
        </w:rPr>
        <w:t>MIg</w:t>
      </w:r>
      <w:proofErr w:type="spellEnd"/>
      <w:r w:rsidRPr="001539D2">
        <w:rPr>
          <w:sz w:val="28"/>
          <w:szCs w:val="28"/>
        </w:rPr>
        <w:t xml:space="preserve"> в крови и ББД в моче пациентов </w:t>
      </w:r>
      <w:proofErr w:type="gramStart"/>
      <w:r w:rsidRPr="001539D2">
        <w:rPr>
          <w:sz w:val="28"/>
          <w:szCs w:val="28"/>
        </w:rPr>
        <w:t>до</w:t>
      </w:r>
      <w:proofErr w:type="gramEnd"/>
      <w:r w:rsidRPr="001539D2">
        <w:rPr>
          <w:sz w:val="28"/>
          <w:szCs w:val="28"/>
        </w:rPr>
        <w:t xml:space="preserve"> и </w:t>
      </w:r>
      <w:proofErr w:type="gramStart"/>
      <w:r w:rsidRPr="001539D2">
        <w:rPr>
          <w:sz w:val="28"/>
          <w:szCs w:val="28"/>
        </w:rPr>
        <w:t>в</w:t>
      </w:r>
      <w:proofErr w:type="gramEnd"/>
      <w:r w:rsidRPr="001539D2">
        <w:rPr>
          <w:sz w:val="28"/>
          <w:szCs w:val="28"/>
        </w:rPr>
        <w:t xml:space="preserve"> процессе лечения служит чувствительным индикатором сохранения остаточного клона и доклиническим маркером </w:t>
      </w:r>
      <w:proofErr w:type="spellStart"/>
      <w:r w:rsidRPr="001539D2">
        <w:rPr>
          <w:sz w:val="28"/>
          <w:szCs w:val="28"/>
        </w:rPr>
        <w:t>рецидирования</w:t>
      </w:r>
      <w:proofErr w:type="spellEnd"/>
      <w:r w:rsidRPr="001539D2">
        <w:rPr>
          <w:sz w:val="28"/>
          <w:szCs w:val="28"/>
        </w:rPr>
        <w:t xml:space="preserve"> опухоли. </w:t>
      </w:r>
      <w:proofErr w:type="spellStart"/>
      <w:r w:rsidRPr="001539D2">
        <w:rPr>
          <w:sz w:val="28"/>
          <w:szCs w:val="28"/>
        </w:rPr>
        <w:t>Плазмоцитома</w:t>
      </w:r>
      <w:proofErr w:type="spellEnd"/>
      <w:r w:rsidRPr="001539D2">
        <w:rPr>
          <w:sz w:val="28"/>
          <w:szCs w:val="28"/>
        </w:rPr>
        <w:t xml:space="preserve">, как и ее предшественник </w:t>
      </w:r>
      <w:proofErr w:type="spellStart"/>
      <w:r w:rsidRPr="001539D2">
        <w:rPr>
          <w:sz w:val="28"/>
          <w:szCs w:val="28"/>
        </w:rPr>
        <w:t>плазмоцит</w:t>
      </w:r>
      <w:proofErr w:type="spellEnd"/>
      <w:r w:rsidRPr="001539D2">
        <w:rPr>
          <w:sz w:val="28"/>
          <w:szCs w:val="28"/>
        </w:rPr>
        <w:t xml:space="preserve">, − активный продуцент </w:t>
      </w:r>
      <w:proofErr w:type="spellStart"/>
      <w:r w:rsidRPr="001539D2">
        <w:rPr>
          <w:sz w:val="28"/>
          <w:szCs w:val="28"/>
        </w:rPr>
        <w:t>MIg</w:t>
      </w:r>
      <w:proofErr w:type="spellEnd"/>
      <w:r w:rsidRPr="001539D2">
        <w:rPr>
          <w:sz w:val="28"/>
          <w:szCs w:val="28"/>
        </w:rPr>
        <w:t xml:space="preserve"> и ББД, но и </w:t>
      </w:r>
      <w:proofErr w:type="gramStart"/>
      <w:r w:rsidRPr="001539D2">
        <w:rPr>
          <w:sz w:val="28"/>
          <w:szCs w:val="28"/>
        </w:rPr>
        <w:t>В-клеточные</w:t>
      </w:r>
      <w:proofErr w:type="gramEnd"/>
      <w:r w:rsidRPr="001539D2">
        <w:rPr>
          <w:sz w:val="28"/>
          <w:szCs w:val="28"/>
        </w:rPr>
        <w:t xml:space="preserve"> </w:t>
      </w:r>
      <w:proofErr w:type="spellStart"/>
      <w:r w:rsidRPr="001539D2">
        <w:rPr>
          <w:sz w:val="28"/>
          <w:szCs w:val="28"/>
        </w:rPr>
        <w:t>гемобластозы</w:t>
      </w:r>
      <w:proofErr w:type="spellEnd"/>
      <w:r w:rsidRPr="001539D2">
        <w:rPr>
          <w:sz w:val="28"/>
          <w:szCs w:val="28"/>
        </w:rPr>
        <w:t xml:space="preserve">, особенно относящиеся к хроническим В-клеточным лейкемиям, продуцируют низкие количества </w:t>
      </w:r>
      <w:proofErr w:type="spellStart"/>
      <w:r w:rsidRPr="001539D2">
        <w:rPr>
          <w:sz w:val="28"/>
          <w:szCs w:val="28"/>
        </w:rPr>
        <w:t>MIg</w:t>
      </w:r>
      <w:proofErr w:type="spellEnd"/>
      <w:r w:rsidRPr="001539D2">
        <w:rPr>
          <w:sz w:val="28"/>
          <w:szCs w:val="28"/>
        </w:rPr>
        <w:t xml:space="preserve"> и ББД, которые могут быть выявлены специальными высокочувствительными реакциями и использованы для иммунодиагностики и мониторинга этих опухолей</w:t>
      </w:r>
      <w:r w:rsidRPr="001539D2">
        <w:rPr>
          <w:sz w:val="28"/>
          <w:szCs w:val="28"/>
        </w:rPr>
        <w:t>.</w:t>
      </w:r>
    </w:p>
    <w:p w14:paraId="0C946CAA" w14:textId="773777CF" w:rsidR="001539D2" w:rsidRPr="001539D2" w:rsidRDefault="001539D2" w:rsidP="008F4566">
      <w:pPr>
        <w:jc w:val="both"/>
        <w:rPr>
          <w:sz w:val="28"/>
          <w:szCs w:val="28"/>
        </w:rPr>
      </w:pPr>
      <w:r w:rsidRPr="001539D2">
        <w:rPr>
          <w:sz w:val="28"/>
          <w:szCs w:val="28"/>
        </w:rPr>
        <w:t xml:space="preserve">    </w:t>
      </w:r>
    </w:p>
    <w:p w14:paraId="7211A8B2" w14:textId="74135502" w:rsidR="001539D2" w:rsidRPr="001539D2" w:rsidRDefault="001539D2" w:rsidP="008F4566">
      <w:pPr>
        <w:jc w:val="both"/>
        <w:rPr>
          <w:b/>
          <w:bCs/>
          <w:color w:val="000000" w:themeColor="text1"/>
          <w:sz w:val="28"/>
          <w:szCs w:val="28"/>
        </w:rPr>
      </w:pPr>
      <w:proofErr w:type="spellStart"/>
      <w:r w:rsidRPr="001539D2">
        <w:rPr>
          <w:sz w:val="28"/>
          <w:szCs w:val="28"/>
        </w:rPr>
        <w:t>Миеломные</w:t>
      </w:r>
      <w:proofErr w:type="spellEnd"/>
      <w:r w:rsidRPr="001539D2">
        <w:rPr>
          <w:sz w:val="28"/>
          <w:szCs w:val="28"/>
        </w:rPr>
        <w:t xml:space="preserve"> белки долгие годы оставались, казалось бы, не имеющими аналогов среди солидных опухолей. Обнаружение </w:t>
      </w:r>
      <w:proofErr w:type="spellStart"/>
      <w:r w:rsidRPr="001539D2">
        <w:rPr>
          <w:sz w:val="28"/>
          <w:szCs w:val="28"/>
        </w:rPr>
        <w:t>альфафетопротеина</w:t>
      </w:r>
      <w:proofErr w:type="spellEnd"/>
      <w:r w:rsidRPr="001539D2">
        <w:rPr>
          <w:sz w:val="28"/>
          <w:szCs w:val="28"/>
        </w:rPr>
        <w:t xml:space="preserve"> (АФП) при гепатоцеллюлярных раках животных и человека положило начало открытию ряда серологических маркеров солидных опухолей, широко применяемых в иммунодиагностике рака. АФП указал на неизвестный ранее тип </w:t>
      </w:r>
      <w:proofErr w:type="spellStart"/>
      <w:r w:rsidRPr="001539D2">
        <w:rPr>
          <w:sz w:val="28"/>
          <w:szCs w:val="28"/>
        </w:rPr>
        <w:t>дифференцировочных</w:t>
      </w:r>
      <w:proofErr w:type="spellEnd"/>
      <w:r w:rsidRPr="001539D2">
        <w:rPr>
          <w:sz w:val="28"/>
          <w:szCs w:val="28"/>
        </w:rPr>
        <w:t xml:space="preserve"> антигенов − </w:t>
      </w:r>
      <w:proofErr w:type="spellStart"/>
      <w:r w:rsidRPr="001539D2">
        <w:rPr>
          <w:sz w:val="28"/>
          <w:szCs w:val="28"/>
        </w:rPr>
        <w:t>онкофетальных</w:t>
      </w:r>
      <w:proofErr w:type="spellEnd"/>
      <w:r w:rsidRPr="001539D2">
        <w:rPr>
          <w:sz w:val="28"/>
          <w:szCs w:val="28"/>
        </w:rPr>
        <w:t xml:space="preserve">, т.е. </w:t>
      </w:r>
      <w:proofErr w:type="spellStart"/>
      <w:r w:rsidRPr="001539D2">
        <w:rPr>
          <w:sz w:val="28"/>
          <w:szCs w:val="28"/>
        </w:rPr>
        <w:t>тканеспецифических</w:t>
      </w:r>
      <w:proofErr w:type="spellEnd"/>
      <w:r w:rsidRPr="001539D2">
        <w:rPr>
          <w:sz w:val="28"/>
          <w:szCs w:val="28"/>
        </w:rPr>
        <w:t xml:space="preserve"> антигенов, </w:t>
      </w:r>
      <w:proofErr w:type="spellStart"/>
      <w:r w:rsidRPr="001539D2">
        <w:rPr>
          <w:sz w:val="28"/>
          <w:szCs w:val="28"/>
        </w:rPr>
        <w:t>экспремирующихся</w:t>
      </w:r>
      <w:proofErr w:type="spellEnd"/>
      <w:r w:rsidRPr="001539D2">
        <w:rPr>
          <w:sz w:val="28"/>
          <w:szCs w:val="28"/>
        </w:rPr>
        <w:t xml:space="preserve"> в нормальном развитии только в эмбриональном периоде, но вновь появляющихся в опухолях. Вслед за АФП был открыт раково-эмбриональный антиген (РЭА) опухолей ободочной и прямой кишки, попадающий в кровь и являющийся маркером опухолей кишечника. РЭА − антиген, наиболее часто используемый в клинике для оценки эффективности операции и обнаружения рецидивов за месяцы до их клинического проявления. Это дает так называемое </w:t>
      </w:r>
      <w:proofErr w:type="spellStart"/>
      <w:r w:rsidRPr="001539D2">
        <w:rPr>
          <w:sz w:val="28"/>
          <w:szCs w:val="28"/>
        </w:rPr>
        <w:t>lead</w:t>
      </w:r>
      <w:proofErr w:type="spellEnd"/>
      <w:r w:rsidRPr="001539D2">
        <w:rPr>
          <w:sz w:val="28"/>
          <w:szCs w:val="28"/>
        </w:rPr>
        <w:t xml:space="preserve"> </w:t>
      </w:r>
      <w:proofErr w:type="spellStart"/>
      <w:r w:rsidRPr="001539D2">
        <w:rPr>
          <w:sz w:val="28"/>
          <w:szCs w:val="28"/>
        </w:rPr>
        <w:t>time</w:t>
      </w:r>
      <w:proofErr w:type="spellEnd"/>
      <w:r w:rsidRPr="001539D2">
        <w:rPr>
          <w:sz w:val="28"/>
          <w:szCs w:val="28"/>
        </w:rPr>
        <w:t xml:space="preserve"> − клинически бессимптомный период, когда может быть проведена повторная операция или начата химиотерапия. За РЭА последовал СА 125 − </w:t>
      </w:r>
      <w:proofErr w:type="spellStart"/>
      <w:r w:rsidRPr="001539D2">
        <w:rPr>
          <w:sz w:val="28"/>
          <w:szCs w:val="28"/>
        </w:rPr>
        <w:t>мукопротеидный</w:t>
      </w:r>
      <w:proofErr w:type="spellEnd"/>
      <w:r w:rsidRPr="001539D2">
        <w:rPr>
          <w:sz w:val="28"/>
          <w:szCs w:val="28"/>
        </w:rPr>
        <w:t xml:space="preserve"> антиген, образуемый опухолями яичника и попадающий в кровь. Особую популярность получил серологический маркер рака простаты (PSA </w:t>
      </w:r>
      <w:r w:rsidRPr="001539D2">
        <w:rPr>
          <w:sz w:val="28"/>
          <w:szCs w:val="28"/>
        </w:rPr>
        <w:sym w:font="Symbol" w:char="F02D"/>
      </w:r>
      <w:r w:rsidRPr="001539D2">
        <w:rPr>
          <w:sz w:val="28"/>
          <w:szCs w:val="28"/>
        </w:rPr>
        <w:t xml:space="preserve"> </w:t>
      </w:r>
      <w:proofErr w:type="spellStart"/>
      <w:r w:rsidRPr="001539D2">
        <w:rPr>
          <w:sz w:val="28"/>
          <w:szCs w:val="28"/>
        </w:rPr>
        <w:t>prostate</w:t>
      </w:r>
      <w:proofErr w:type="spellEnd"/>
      <w:r w:rsidRPr="001539D2">
        <w:rPr>
          <w:sz w:val="28"/>
          <w:szCs w:val="28"/>
        </w:rPr>
        <w:t xml:space="preserve"> </w:t>
      </w:r>
      <w:proofErr w:type="spellStart"/>
      <w:r w:rsidRPr="001539D2">
        <w:rPr>
          <w:sz w:val="28"/>
          <w:szCs w:val="28"/>
        </w:rPr>
        <w:t>specific</w:t>
      </w:r>
      <w:proofErr w:type="spellEnd"/>
      <w:r w:rsidRPr="001539D2">
        <w:rPr>
          <w:sz w:val="28"/>
          <w:szCs w:val="28"/>
        </w:rPr>
        <w:t xml:space="preserve"> </w:t>
      </w:r>
      <w:proofErr w:type="spellStart"/>
      <w:r w:rsidRPr="001539D2">
        <w:rPr>
          <w:sz w:val="28"/>
          <w:szCs w:val="28"/>
        </w:rPr>
        <w:t>antigen</w:t>
      </w:r>
      <w:proofErr w:type="spellEnd"/>
      <w:r w:rsidRPr="001539D2">
        <w:rPr>
          <w:sz w:val="28"/>
          <w:szCs w:val="28"/>
        </w:rPr>
        <w:t xml:space="preserve">), применяемый не только для дифференциальной диагностики и мониторинга, но и для </w:t>
      </w:r>
      <w:proofErr w:type="spellStart"/>
      <w:r w:rsidRPr="001539D2">
        <w:rPr>
          <w:sz w:val="28"/>
          <w:szCs w:val="28"/>
        </w:rPr>
        <w:t>скринингового</w:t>
      </w:r>
      <w:proofErr w:type="spellEnd"/>
      <w:r w:rsidRPr="001539D2">
        <w:rPr>
          <w:sz w:val="28"/>
          <w:szCs w:val="28"/>
        </w:rPr>
        <w:t xml:space="preserve"> выявления клинически не проявляющихся опухолей. Серологический маркер рака молочной железы человека − </w:t>
      </w:r>
      <w:proofErr w:type="spellStart"/>
      <w:r w:rsidRPr="001539D2">
        <w:rPr>
          <w:sz w:val="28"/>
          <w:szCs w:val="28"/>
        </w:rPr>
        <w:t>Her</w:t>
      </w:r>
      <w:proofErr w:type="spellEnd"/>
      <w:r w:rsidRPr="001539D2">
        <w:rPr>
          <w:sz w:val="28"/>
          <w:szCs w:val="28"/>
        </w:rPr>
        <w:t xml:space="preserve"> 2/</w:t>
      </w:r>
      <w:proofErr w:type="spellStart"/>
      <w:r w:rsidRPr="001539D2">
        <w:rPr>
          <w:sz w:val="28"/>
          <w:szCs w:val="28"/>
        </w:rPr>
        <w:t>neu</w:t>
      </w:r>
      <w:proofErr w:type="spellEnd"/>
      <w:r w:rsidRPr="001539D2">
        <w:rPr>
          <w:sz w:val="28"/>
          <w:szCs w:val="28"/>
        </w:rPr>
        <w:t xml:space="preserve">, попадающий в кровь растворимый рецептор одного из </w:t>
      </w:r>
      <w:proofErr w:type="spellStart"/>
      <w:r w:rsidRPr="001539D2">
        <w:rPr>
          <w:sz w:val="28"/>
          <w:szCs w:val="28"/>
        </w:rPr>
        <w:t>эпидермальных</w:t>
      </w:r>
      <w:proofErr w:type="spellEnd"/>
      <w:r w:rsidRPr="001539D2">
        <w:rPr>
          <w:sz w:val="28"/>
          <w:szCs w:val="28"/>
        </w:rPr>
        <w:t xml:space="preserve"> факторов роста человека. Его присутствие в крови является плохим прогностическим признаком. Кроме антигенов, природа и происхождение которых полно изучены, равно </w:t>
      </w:r>
      <w:r w:rsidRPr="001539D2">
        <w:rPr>
          <w:sz w:val="28"/>
          <w:szCs w:val="28"/>
        </w:rPr>
        <w:lastRenderedPageBreak/>
        <w:t xml:space="preserve">как и </w:t>
      </w:r>
      <w:proofErr w:type="gramStart"/>
      <w:r w:rsidRPr="001539D2">
        <w:rPr>
          <w:sz w:val="28"/>
          <w:szCs w:val="28"/>
        </w:rPr>
        <w:t>причины</w:t>
      </w:r>
      <w:proofErr w:type="gramEnd"/>
      <w:r w:rsidRPr="001539D2">
        <w:rPr>
          <w:sz w:val="28"/>
          <w:szCs w:val="28"/>
        </w:rPr>
        <w:t xml:space="preserve"> их появления, при определенных опухолях имеется ряд антигенов опухолей (поджелудочной железы, легких), находящихся в процессе изучения. Вопросом принципиальной важности является возможность ранней диагностики опухолей по серологическим маркерам. Однако это зависит не столько от маркера, сколько от возможности формирования группы высокого риска для возникновения данной опухоли. Там, где такие группы существуют, скрининг по серологическим маркерам дает хорошие результаты. Так, исследование на АФП всего населения в районе Шанхая (Китай) и</w:t>
      </w:r>
      <w:r w:rsidRPr="001539D2">
        <w:rPr>
          <w:sz w:val="28"/>
          <w:szCs w:val="28"/>
        </w:rPr>
        <w:t xml:space="preserve"> хронических носителей вируса </w:t>
      </w:r>
      <w:r w:rsidRPr="001539D2">
        <w:rPr>
          <w:sz w:val="28"/>
          <w:szCs w:val="28"/>
        </w:rPr>
        <w:t xml:space="preserve"> гепатита</w:t>
      </w:r>
      <w:proofErr w:type="gramStart"/>
      <w:r w:rsidRPr="001539D2">
        <w:rPr>
          <w:sz w:val="28"/>
          <w:szCs w:val="28"/>
        </w:rPr>
        <w:t xml:space="preserve"> В</w:t>
      </w:r>
      <w:proofErr w:type="gramEnd"/>
      <w:r w:rsidRPr="001539D2">
        <w:rPr>
          <w:sz w:val="28"/>
          <w:szCs w:val="28"/>
        </w:rPr>
        <w:t xml:space="preserve"> среди эскимосов Аляски выявило больных раком печени без клинических симптомов в операбельной стадии. Целесообразно систематическое исследование на АФП больных циррозом печени. Группа высокого риска по раку простаты − мужчины в возрасте старше 50 лет. Систематическое обследование их на PSA выявляет самые ранние стадии этой формы рака, включая карциному </w:t>
      </w:r>
      <w:proofErr w:type="spellStart"/>
      <w:r w:rsidRPr="001539D2">
        <w:rPr>
          <w:sz w:val="28"/>
          <w:szCs w:val="28"/>
        </w:rPr>
        <w:t>in</w:t>
      </w:r>
      <w:proofErr w:type="spellEnd"/>
      <w:r w:rsidRPr="001539D2">
        <w:rPr>
          <w:sz w:val="28"/>
          <w:szCs w:val="28"/>
        </w:rPr>
        <w:t xml:space="preserve"> </w:t>
      </w:r>
      <w:proofErr w:type="spellStart"/>
      <w:r w:rsidRPr="001539D2">
        <w:rPr>
          <w:sz w:val="28"/>
          <w:szCs w:val="28"/>
        </w:rPr>
        <w:t>situ</w:t>
      </w:r>
      <w:proofErr w:type="spellEnd"/>
      <w:r w:rsidRPr="001539D2">
        <w:rPr>
          <w:sz w:val="28"/>
          <w:szCs w:val="28"/>
        </w:rPr>
        <w:t xml:space="preserve">. При этом обнаруживается и </w:t>
      </w:r>
      <w:proofErr w:type="spellStart"/>
      <w:r w:rsidRPr="001539D2">
        <w:rPr>
          <w:sz w:val="28"/>
          <w:szCs w:val="28"/>
        </w:rPr>
        <w:t>гипердиагностика</w:t>
      </w:r>
      <w:proofErr w:type="spellEnd"/>
      <w:r w:rsidRPr="001539D2">
        <w:rPr>
          <w:sz w:val="28"/>
          <w:szCs w:val="28"/>
        </w:rPr>
        <w:t xml:space="preserve"> соответствующей опухоли. Тем не </w:t>
      </w:r>
      <w:proofErr w:type="gramStart"/>
      <w:r w:rsidRPr="001539D2">
        <w:rPr>
          <w:sz w:val="28"/>
          <w:szCs w:val="28"/>
        </w:rPr>
        <w:t>менее</w:t>
      </w:r>
      <w:proofErr w:type="gramEnd"/>
      <w:r w:rsidRPr="001539D2">
        <w:rPr>
          <w:sz w:val="28"/>
          <w:szCs w:val="28"/>
        </w:rPr>
        <w:t xml:space="preserve"> скрининг населения Европы и Северной Америки по PSA уже позволил рассчитывать на снижение заболеваемости раком простаты на 15−20 %. Группой «самого высокого риска» являются оперированные или леченные химиотерапией больные. Здесь речь идет о выявлении остаточного клона заболевания и клинически не манифестируемого рецидива. В этих ситуациях все перечисленные выше маркеры незаменимы, они, как правило, дают </w:t>
      </w:r>
      <w:proofErr w:type="spellStart"/>
      <w:r w:rsidRPr="001539D2">
        <w:rPr>
          <w:sz w:val="28"/>
          <w:szCs w:val="28"/>
        </w:rPr>
        <w:t>lead</w:t>
      </w:r>
      <w:proofErr w:type="spellEnd"/>
      <w:r w:rsidRPr="001539D2">
        <w:rPr>
          <w:sz w:val="28"/>
          <w:szCs w:val="28"/>
        </w:rPr>
        <w:t xml:space="preserve"> </w:t>
      </w:r>
      <w:proofErr w:type="spellStart"/>
      <w:r w:rsidRPr="001539D2">
        <w:rPr>
          <w:sz w:val="28"/>
          <w:szCs w:val="28"/>
        </w:rPr>
        <w:t>time</w:t>
      </w:r>
      <w:proofErr w:type="spellEnd"/>
      <w:r w:rsidRPr="001539D2">
        <w:rPr>
          <w:sz w:val="28"/>
          <w:szCs w:val="28"/>
        </w:rPr>
        <w:t xml:space="preserve"> для своевременного вмешательства хирурга или </w:t>
      </w:r>
      <w:proofErr w:type="spellStart"/>
      <w:r w:rsidRPr="001539D2">
        <w:rPr>
          <w:sz w:val="28"/>
          <w:szCs w:val="28"/>
        </w:rPr>
        <w:t>химиотерапевта</w:t>
      </w:r>
      <w:proofErr w:type="spellEnd"/>
      <w:r w:rsidRPr="001539D2">
        <w:rPr>
          <w:sz w:val="28"/>
          <w:szCs w:val="28"/>
        </w:rPr>
        <w:t>. В настоящее время тест-системы на опухолевые маркеры производятся ведущими фармацевтическими компаниями и образуют солидную область фармацевтической промышленности. При этом иммунодиагностика рака открыта для поисков новых маркеров и разработки новых методов их определения</w:t>
      </w:r>
      <w:r w:rsidRPr="001539D2">
        <w:rPr>
          <w:sz w:val="28"/>
          <w:szCs w:val="28"/>
        </w:rPr>
        <w:t>.</w:t>
      </w:r>
    </w:p>
    <w:sectPr w:rsidR="001539D2" w:rsidRPr="001539D2" w:rsidSect="00011B66">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16146" w14:textId="77777777" w:rsidR="009B703E" w:rsidRDefault="009B703E" w:rsidP="00011B66">
      <w:r>
        <w:separator/>
      </w:r>
    </w:p>
  </w:endnote>
  <w:endnote w:type="continuationSeparator" w:id="0">
    <w:p w14:paraId="2BA09272" w14:textId="77777777" w:rsidR="009B703E" w:rsidRDefault="009B703E" w:rsidP="000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8D61" w14:textId="77777777" w:rsidR="00011B66" w:rsidRDefault="00011B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E8D2" w14:textId="77777777" w:rsidR="00011B66" w:rsidRDefault="00011B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76D1" w14:textId="77777777" w:rsidR="00011B66" w:rsidRDefault="00011B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8A51E" w14:textId="77777777" w:rsidR="009B703E" w:rsidRDefault="009B703E" w:rsidP="00011B66">
      <w:r>
        <w:separator/>
      </w:r>
    </w:p>
  </w:footnote>
  <w:footnote w:type="continuationSeparator" w:id="0">
    <w:p w14:paraId="725C49EB" w14:textId="77777777" w:rsidR="009B703E" w:rsidRDefault="009B703E" w:rsidP="00011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DC8D" w14:textId="77777777" w:rsidR="00011B66" w:rsidRDefault="00011B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80B1" w14:textId="77777777" w:rsidR="00011B66" w:rsidRDefault="00011B6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29B4" w14:textId="77777777" w:rsidR="00011B66" w:rsidRDefault="00011B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4A2"/>
    <w:multiLevelType w:val="hybridMultilevel"/>
    <w:tmpl w:val="A3100C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A5C08"/>
    <w:multiLevelType w:val="hybridMultilevel"/>
    <w:tmpl w:val="CBF636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3A8B"/>
    <w:multiLevelType w:val="hybridMultilevel"/>
    <w:tmpl w:val="3D9C1E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11DC1"/>
    <w:multiLevelType w:val="hybridMultilevel"/>
    <w:tmpl w:val="6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8A223F8"/>
    <w:multiLevelType w:val="hybridMultilevel"/>
    <w:tmpl w:val="A71C73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6B5E6C"/>
    <w:multiLevelType w:val="hybridMultilevel"/>
    <w:tmpl w:val="59AEF16A"/>
    <w:lvl w:ilvl="0" w:tplc="0419000F">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BBF205D"/>
    <w:multiLevelType w:val="hybridMultilevel"/>
    <w:tmpl w:val="7B2012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CDF44B4"/>
    <w:multiLevelType w:val="hybridMultilevel"/>
    <w:tmpl w:val="F6E4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357BB1"/>
    <w:multiLevelType w:val="hybridMultilevel"/>
    <w:tmpl w:val="8CE822AA"/>
    <w:lvl w:ilvl="0" w:tplc="04190005">
      <w:start w:val="1"/>
      <w:numFmt w:val="bullet"/>
      <w:lvlText w:val=""/>
      <w:lvlJc w:val="left"/>
      <w:pPr>
        <w:ind w:left="1849" w:hanging="360"/>
      </w:pPr>
      <w:rPr>
        <w:rFonts w:ascii="Wingdings" w:hAnsi="Wingdings"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9">
    <w:nsid w:val="207A2922"/>
    <w:multiLevelType w:val="hybridMultilevel"/>
    <w:tmpl w:val="76D2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0335D"/>
    <w:multiLevelType w:val="hybridMultilevel"/>
    <w:tmpl w:val="78FE15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280153"/>
    <w:multiLevelType w:val="hybridMultilevel"/>
    <w:tmpl w:val="FAFC4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23518"/>
    <w:multiLevelType w:val="hybridMultilevel"/>
    <w:tmpl w:val="E5382DC2"/>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7E407A"/>
    <w:multiLevelType w:val="hybridMultilevel"/>
    <w:tmpl w:val="6FDCB6D8"/>
    <w:lvl w:ilvl="0" w:tplc="119A9AF8">
      <w:start w:val="1"/>
      <w:numFmt w:val="bullet"/>
      <w:lvlText w:val="•"/>
      <w:lvlJc w:val="left"/>
      <w:pPr>
        <w:tabs>
          <w:tab w:val="num" w:pos="720"/>
        </w:tabs>
        <w:ind w:left="720" w:hanging="360"/>
      </w:pPr>
      <w:rPr>
        <w:rFonts w:ascii="Times New Roman" w:hAnsi="Times New Roman" w:hint="default"/>
      </w:rPr>
    </w:lvl>
    <w:lvl w:ilvl="1" w:tplc="B5BED960" w:tentative="1">
      <w:start w:val="1"/>
      <w:numFmt w:val="bullet"/>
      <w:lvlText w:val="•"/>
      <w:lvlJc w:val="left"/>
      <w:pPr>
        <w:tabs>
          <w:tab w:val="num" w:pos="1440"/>
        </w:tabs>
        <w:ind w:left="1440" w:hanging="360"/>
      </w:pPr>
      <w:rPr>
        <w:rFonts w:ascii="Times New Roman" w:hAnsi="Times New Roman" w:hint="default"/>
      </w:rPr>
    </w:lvl>
    <w:lvl w:ilvl="2" w:tplc="B02ADBFC" w:tentative="1">
      <w:start w:val="1"/>
      <w:numFmt w:val="bullet"/>
      <w:lvlText w:val="•"/>
      <w:lvlJc w:val="left"/>
      <w:pPr>
        <w:tabs>
          <w:tab w:val="num" w:pos="2160"/>
        </w:tabs>
        <w:ind w:left="2160" w:hanging="360"/>
      </w:pPr>
      <w:rPr>
        <w:rFonts w:ascii="Times New Roman" w:hAnsi="Times New Roman" w:hint="default"/>
      </w:rPr>
    </w:lvl>
    <w:lvl w:ilvl="3" w:tplc="020622DE" w:tentative="1">
      <w:start w:val="1"/>
      <w:numFmt w:val="bullet"/>
      <w:lvlText w:val="•"/>
      <w:lvlJc w:val="left"/>
      <w:pPr>
        <w:tabs>
          <w:tab w:val="num" w:pos="2880"/>
        </w:tabs>
        <w:ind w:left="2880" w:hanging="360"/>
      </w:pPr>
      <w:rPr>
        <w:rFonts w:ascii="Times New Roman" w:hAnsi="Times New Roman" w:hint="default"/>
      </w:rPr>
    </w:lvl>
    <w:lvl w:ilvl="4" w:tplc="1DCEED82" w:tentative="1">
      <w:start w:val="1"/>
      <w:numFmt w:val="bullet"/>
      <w:lvlText w:val="•"/>
      <w:lvlJc w:val="left"/>
      <w:pPr>
        <w:tabs>
          <w:tab w:val="num" w:pos="3600"/>
        </w:tabs>
        <w:ind w:left="3600" w:hanging="360"/>
      </w:pPr>
      <w:rPr>
        <w:rFonts w:ascii="Times New Roman" w:hAnsi="Times New Roman" w:hint="default"/>
      </w:rPr>
    </w:lvl>
    <w:lvl w:ilvl="5" w:tplc="4D8E9A0E" w:tentative="1">
      <w:start w:val="1"/>
      <w:numFmt w:val="bullet"/>
      <w:lvlText w:val="•"/>
      <w:lvlJc w:val="left"/>
      <w:pPr>
        <w:tabs>
          <w:tab w:val="num" w:pos="4320"/>
        </w:tabs>
        <w:ind w:left="4320" w:hanging="360"/>
      </w:pPr>
      <w:rPr>
        <w:rFonts w:ascii="Times New Roman" w:hAnsi="Times New Roman" w:hint="default"/>
      </w:rPr>
    </w:lvl>
    <w:lvl w:ilvl="6" w:tplc="77C6478A" w:tentative="1">
      <w:start w:val="1"/>
      <w:numFmt w:val="bullet"/>
      <w:lvlText w:val="•"/>
      <w:lvlJc w:val="left"/>
      <w:pPr>
        <w:tabs>
          <w:tab w:val="num" w:pos="5040"/>
        </w:tabs>
        <w:ind w:left="5040" w:hanging="360"/>
      </w:pPr>
      <w:rPr>
        <w:rFonts w:ascii="Times New Roman" w:hAnsi="Times New Roman" w:hint="default"/>
      </w:rPr>
    </w:lvl>
    <w:lvl w:ilvl="7" w:tplc="D5C44B1C" w:tentative="1">
      <w:start w:val="1"/>
      <w:numFmt w:val="bullet"/>
      <w:lvlText w:val="•"/>
      <w:lvlJc w:val="left"/>
      <w:pPr>
        <w:tabs>
          <w:tab w:val="num" w:pos="5760"/>
        </w:tabs>
        <w:ind w:left="5760" w:hanging="360"/>
      </w:pPr>
      <w:rPr>
        <w:rFonts w:ascii="Times New Roman" w:hAnsi="Times New Roman" w:hint="default"/>
      </w:rPr>
    </w:lvl>
    <w:lvl w:ilvl="8" w:tplc="04F68D5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7C5B15"/>
    <w:multiLevelType w:val="hybridMultilevel"/>
    <w:tmpl w:val="1FAEBA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3540C"/>
    <w:multiLevelType w:val="hybridMultilevel"/>
    <w:tmpl w:val="0D46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64DA9"/>
    <w:multiLevelType w:val="hybridMultilevel"/>
    <w:tmpl w:val="F802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B5FF8"/>
    <w:multiLevelType w:val="hybridMultilevel"/>
    <w:tmpl w:val="71AC6942"/>
    <w:lvl w:ilvl="0" w:tplc="E898A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0E424A"/>
    <w:multiLevelType w:val="hybridMultilevel"/>
    <w:tmpl w:val="7B948464"/>
    <w:lvl w:ilvl="0" w:tplc="041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10873BE"/>
    <w:multiLevelType w:val="hybridMultilevel"/>
    <w:tmpl w:val="43E65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51237155"/>
    <w:multiLevelType w:val="hybridMultilevel"/>
    <w:tmpl w:val="20AA9226"/>
    <w:lvl w:ilvl="0" w:tplc="455E9044">
      <w:start w:val="1"/>
      <w:numFmt w:val="bullet"/>
      <w:lvlText w:val="•"/>
      <w:lvlJc w:val="left"/>
      <w:pPr>
        <w:tabs>
          <w:tab w:val="num" w:pos="720"/>
        </w:tabs>
        <w:ind w:left="720" w:hanging="360"/>
      </w:pPr>
      <w:rPr>
        <w:rFonts w:ascii="Times New Roman" w:hAnsi="Times New Roman" w:hint="default"/>
      </w:rPr>
    </w:lvl>
    <w:lvl w:ilvl="1" w:tplc="192C01D2" w:tentative="1">
      <w:start w:val="1"/>
      <w:numFmt w:val="bullet"/>
      <w:lvlText w:val="•"/>
      <w:lvlJc w:val="left"/>
      <w:pPr>
        <w:tabs>
          <w:tab w:val="num" w:pos="1440"/>
        </w:tabs>
        <w:ind w:left="1440" w:hanging="360"/>
      </w:pPr>
      <w:rPr>
        <w:rFonts w:ascii="Times New Roman" w:hAnsi="Times New Roman" w:hint="default"/>
      </w:rPr>
    </w:lvl>
    <w:lvl w:ilvl="2" w:tplc="21982458" w:tentative="1">
      <w:start w:val="1"/>
      <w:numFmt w:val="bullet"/>
      <w:lvlText w:val="•"/>
      <w:lvlJc w:val="left"/>
      <w:pPr>
        <w:tabs>
          <w:tab w:val="num" w:pos="2160"/>
        </w:tabs>
        <w:ind w:left="2160" w:hanging="360"/>
      </w:pPr>
      <w:rPr>
        <w:rFonts w:ascii="Times New Roman" w:hAnsi="Times New Roman" w:hint="default"/>
      </w:rPr>
    </w:lvl>
    <w:lvl w:ilvl="3" w:tplc="A17C8C9A" w:tentative="1">
      <w:start w:val="1"/>
      <w:numFmt w:val="bullet"/>
      <w:lvlText w:val="•"/>
      <w:lvlJc w:val="left"/>
      <w:pPr>
        <w:tabs>
          <w:tab w:val="num" w:pos="2880"/>
        </w:tabs>
        <w:ind w:left="2880" w:hanging="360"/>
      </w:pPr>
      <w:rPr>
        <w:rFonts w:ascii="Times New Roman" w:hAnsi="Times New Roman" w:hint="default"/>
      </w:rPr>
    </w:lvl>
    <w:lvl w:ilvl="4" w:tplc="552837C0" w:tentative="1">
      <w:start w:val="1"/>
      <w:numFmt w:val="bullet"/>
      <w:lvlText w:val="•"/>
      <w:lvlJc w:val="left"/>
      <w:pPr>
        <w:tabs>
          <w:tab w:val="num" w:pos="3600"/>
        </w:tabs>
        <w:ind w:left="3600" w:hanging="360"/>
      </w:pPr>
      <w:rPr>
        <w:rFonts w:ascii="Times New Roman" w:hAnsi="Times New Roman" w:hint="default"/>
      </w:rPr>
    </w:lvl>
    <w:lvl w:ilvl="5" w:tplc="4128F980" w:tentative="1">
      <w:start w:val="1"/>
      <w:numFmt w:val="bullet"/>
      <w:lvlText w:val="•"/>
      <w:lvlJc w:val="left"/>
      <w:pPr>
        <w:tabs>
          <w:tab w:val="num" w:pos="4320"/>
        </w:tabs>
        <w:ind w:left="4320" w:hanging="360"/>
      </w:pPr>
      <w:rPr>
        <w:rFonts w:ascii="Times New Roman" w:hAnsi="Times New Roman" w:hint="default"/>
      </w:rPr>
    </w:lvl>
    <w:lvl w:ilvl="6" w:tplc="44F6230A" w:tentative="1">
      <w:start w:val="1"/>
      <w:numFmt w:val="bullet"/>
      <w:lvlText w:val="•"/>
      <w:lvlJc w:val="left"/>
      <w:pPr>
        <w:tabs>
          <w:tab w:val="num" w:pos="5040"/>
        </w:tabs>
        <w:ind w:left="5040" w:hanging="360"/>
      </w:pPr>
      <w:rPr>
        <w:rFonts w:ascii="Times New Roman" w:hAnsi="Times New Roman" w:hint="default"/>
      </w:rPr>
    </w:lvl>
    <w:lvl w:ilvl="7" w:tplc="83C488A2" w:tentative="1">
      <w:start w:val="1"/>
      <w:numFmt w:val="bullet"/>
      <w:lvlText w:val="•"/>
      <w:lvlJc w:val="left"/>
      <w:pPr>
        <w:tabs>
          <w:tab w:val="num" w:pos="5760"/>
        </w:tabs>
        <w:ind w:left="5760" w:hanging="360"/>
      </w:pPr>
      <w:rPr>
        <w:rFonts w:ascii="Times New Roman" w:hAnsi="Times New Roman" w:hint="default"/>
      </w:rPr>
    </w:lvl>
    <w:lvl w:ilvl="8" w:tplc="526676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121769"/>
    <w:multiLevelType w:val="hybridMultilevel"/>
    <w:tmpl w:val="BE20505E"/>
    <w:lvl w:ilvl="0" w:tplc="B80AD05C">
      <w:start w:val="1"/>
      <w:numFmt w:val="bullet"/>
      <w:lvlText w:val="•"/>
      <w:lvlJc w:val="left"/>
      <w:pPr>
        <w:tabs>
          <w:tab w:val="num" w:pos="720"/>
        </w:tabs>
        <w:ind w:left="720" w:hanging="360"/>
      </w:pPr>
      <w:rPr>
        <w:rFonts w:ascii="Times New Roman" w:hAnsi="Times New Roman" w:hint="default"/>
      </w:rPr>
    </w:lvl>
    <w:lvl w:ilvl="1" w:tplc="E75C6EC4" w:tentative="1">
      <w:start w:val="1"/>
      <w:numFmt w:val="bullet"/>
      <w:lvlText w:val="•"/>
      <w:lvlJc w:val="left"/>
      <w:pPr>
        <w:tabs>
          <w:tab w:val="num" w:pos="1440"/>
        </w:tabs>
        <w:ind w:left="1440" w:hanging="360"/>
      </w:pPr>
      <w:rPr>
        <w:rFonts w:ascii="Times New Roman" w:hAnsi="Times New Roman" w:hint="default"/>
      </w:rPr>
    </w:lvl>
    <w:lvl w:ilvl="2" w:tplc="C69276DE" w:tentative="1">
      <w:start w:val="1"/>
      <w:numFmt w:val="bullet"/>
      <w:lvlText w:val="•"/>
      <w:lvlJc w:val="left"/>
      <w:pPr>
        <w:tabs>
          <w:tab w:val="num" w:pos="2160"/>
        </w:tabs>
        <w:ind w:left="2160" w:hanging="360"/>
      </w:pPr>
      <w:rPr>
        <w:rFonts w:ascii="Times New Roman" w:hAnsi="Times New Roman" w:hint="default"/>
      </w:rPr>
    </w:lvl>
    <w:lvl w:ilvl="3" w:tplc="8AECF2D8" w:tentative="1">
      <w:start w:val="1"/>
      <w:numFmt w:val="bullet"/>
      <w:lvlText w:val="•"/>
      <w:lvlJc w:val="left"/>
      <w:pPr>
        <w:tabs>
          <w:tab w:val="num" w:pos="2880"/>
        </w:tabs>
        <w:ind w:left="2880" w:hanging="360"/>
      </w:pPr>
      <w:rPr>
        <w:rFonts w:ascii="Times New Roman" w:hAnsi="Times New Roman" w:hint="default"/>
      </w:rPr>
    </w:lvl>
    <w:lvl w:ilvl="4" w:tplc="FD0692E0" w:tentative="1">
      <w:start w:val="1"/>
      <w:numFmt w:val="bullet"/>
      <w:lvlText w:val="•"/>
      <w:lvlJc w:val="left"/>
      <w:pPr>
        <w:tabs>
          <w:tab w:val="num" w:pos="3600"/>
        </w:tabs>
        <w:ind w:left="3600" w:hanging="360"/>
      </w:pPr>
      <w:rPr>
        <w:rFonts w:ascii="Times New Roman" w:hAnsi="Times New Roman" w:hint="default"/>
      </w:rPr>
    </w:lvl>
    <w:lvl w:ilvl="5" w:tplc="1BB6983E" w:tentative="1">
      <w:start w:val="1"/>
      <w:numFmt w:val="bullet"/>
      <w:lvlText w:val="•"/>
      <w:lvlJc w:val="left"/>
      <w:pPr>
        <w:tabs>
          <w:tab w:val="num" w:pos="4320"/>
        </w:tabs>
        <w:ind w:left="4320" w:hanging="360"/>
      </w:pPr>
      <w:rPr>
        <w:rFonts w:ascii="Times New Roman" w:hAnsi="Times New Roman" w:hint="default"/>
      </w:rPr>
    </w:lvl>
    <w:lvl w:ilvl="6" w:tplc="033EBBCA" w:tentative="1">
      <w:start w:val="1"/>
      <w:numFmt w:val="bullet"/>
      <w:lvlText w:val="•"/>
      <w:lvlJc w:val="left"/>
      <w:pPr>
        <w:tabs>
          <w:tab w:val="num" w:pos="5040"/>
        </w:tabs>
        <w:ind w:left="5040" w:hanging="360"/>
      </w:pPr>
      <w:rPr>
        <w:rFonts w:ascii="Times New Roman" w:hAnsi="Times New Roman" w:hint="default"/>
      </w:rPr>
    </w:lvl>
    <w:lvl w:ilvl="7" w:tplc="BC6AB246" w:tentative="1">
      <w:start w:val="1"/>
      <w:numFmt w:val="bullet"/>
      <w:lvlText w:val="•"/>
      <w:lvlJc w:val="left"/>
      <w:pPr>
        <w:tabs>
          <w:tab w:val="num" w:pos="5760"/>
        </w:tabs>
        <w:ind w:left="5760" w:hanging="360"/>
      </w:pPr>
      <w:rPr>
        <w:rFonts w:ascii="Times New Roman" w:hAnsi="Times New Roman" w:hint="default"/>
      </w:rPr>
    </w:lvl>
    <w:lvl w:ilvl="8" w:tplc="C8BED07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EB5479"/>
    <w:multiLevelType w:val="hybridMultilevel"/>
    <w:tmpl w:val="E57C7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C6602AF"/>
    <w:multiLevelType w:val="hybridMultilevel"/>
    <w:tmpl w:val="4DE0D9EA"/>
    <w:lvl w:ilvl="0" w:tplc="04190017">
      <w:start w:val="1"/>
      <w:numFmt w:val="lowerLetter"/>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CAE5A66"/>
    <w:multiLevelType w:val="hybridMultilevel"/>
    <w:tmpl w:val="AC6C36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A64349"/>
    <w:multiLevelType w:val="hybridMultilevel"/>
    <w:tmpl w:val="E9A401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9856513"/>
    <w:multiLevelType w:val="hybridMultilevel"/>
    <w:tmpl w:val="9280A1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B4F76C1"/>
    <w:multiLevelType w:val="hybridMultilevel"/>
    <w:tmpl w:val="AF4C82E4"/>
    <w:lvl w:ilvl="0" w:tplc="E67CE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D63EF2"/>
    <w:multiLevelType w:val="hybridMultilevel"/>
    <w:tmpl w:val="BFCCA882"/>
    <w:lvl w:ilvl="0" w:tplc="EDE28A72">
      <w:start w:val="1"/>
      <w:numFmt w:val="decimal"/>
      <w:lvlText w:val="%1."/>
      <w:lvlJc w:val="left"/>
      <w:pPr>
        <w:ind w:left="861" w:hanging="360"/>
      </w:pPr>
      <w:rPr>
        <w:rFonts w:hint="default"/>
        <w:sz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9">
    <w:nsid w:val="71EE0D8F"/>
    <w:multiLevelType w:val="hybridMultilevel"/>
    <w:tmpl w:val="BBBA4EA6"/>
    <w:lvl w:ilvl="0" w:tplc="A01E181E">
      <w:start w:val="1"/>
      <w:numFmt w:val="bullet"/>
      <w:lvlText w:val="•"/>
      <w:lvlJc w:val="left"/>
      <w:pPr>
        <w:tabs>
          <w:tab w:val="num" w:pos="720"/>
        </w:tabs>
        <w:ind w:left="720" w:hanging="360"/>
      </w:pPr>
      <w:rPr>
        <w:rFonts w:ascii="Times New Roman" w:hAnsi="Times New Roman" w:hint="default"/>
      </w:rPr>
    </w:lvl>
    <w:lvl w:ilvl="1" w:tplc="A5C4CE08" w:tentative="1">
      <w:start w:val="1"/>
      <w:numFmt w:val="bullet"/>
      <w:lvlText w:val="•"/>
      <w:lvlJc w:val="left"/>
      <w:pPr>
        <w:tabs>
          <w:tab w:val="num" w:pos="1440"/>
        </w:tabs>
        <w:ind w:left="1440" w:hanging="360"/>
      </w:pPr>
      <w:rPr>
        <w:rFonts w:ascii="Times New Roman" w:hAnsi="Times New Roman" w:hint="default"/>
      </w:rPr>
    </w:lvl>
    <w:lvl w:ilvl="2" w:tplc="BEEA8674" w:tentative="1">
      <w:start w:val="1"/>
      <w:numFmt w:val="bullet"/>
      <w:lvlText w:val="•"/>
      <w:lvlJc w:val="left"/>
      <w:pPr>
        <w:tabs>
          <w:tab w:val="num" w:pos="2160"/>
        </w:tabs>
        <w:ind w:left="2160" w:hanging="360"/>
      </w:pPr>
      <w:rPr>
        <w:rFonts w:ascii="Times New Roman" w:hAnsi="Times New Roman" w:hint="default"/>
      </w:rPr>
    </w:lvl>
    <w:lvl w:ilvl="3" w:tplc="85B88D58" w:tentative="1">
      <w:start w:val="1"/>
      <w:numFmt w:val="bullet"/>
      <w:lvlText w:val="•"/>
      <w:lvlJc w:val="left"/>
      <w:pPr>
        <w:tabs>
          <w:tab w:val="num" w:pos="2880"/>
        </w:tabs>
        <w:ind w:left="2880" w:hanging="360"/>
      </w:pPr>
      <w:rPr>
        <w:rFonts w:ascii="Times New Roman" w:hAnsi="Times New Roman" w:hint="default"/>
      </w:rPr>
    </w:lvl>
    <w:lvl w:ilvl="4" w:tplc="C9A41026" w:tentative="1">
      <w:start w:val="1"/>
      <w:numFmt w:val="bullet"/>
      <w:lvlText w:val="•"/>
      <w:lvlJc w:val="left"/>
      <w:pPr>
        <w:tabs>
          <w:tab w:val="num" w:pos="3600"/>
        </w:tabs>
        <w:ind w:left="3600" w:hanging="360"/>
      </w:pPr>
      <w:rPr>
        <w:rFonts w:ascii="Times New Roman" w:hAnsi="Times New Roman" w:hint="default"/>
      </w:rPr>
    </w:lvl>
    <w:lvl w:ilvl="5" w:tplc="C69A89DC" w:tentative="1">
      <w:start w:val="1"/>
      <w:numFmt w:val="bullet"/>
      <w:lvlText w:val="•"/>
      <w:lvlJc w:val="left"/>
      <w:pPr>
        <w:tabs>
          <w:tab w:val="num" w:pos="4320"/>
        </w:tabs>
        <w:ind w:left="4320" w:hanging="360"/>
      </w:pPr>
      <w:rPr>
        <w:rFonts w:ascii="Times New Roman" w:hAnsi="Times New Roman" w:hint="default"/>
      </w:rPr>
    </w:lvl>
    <w:lvl w:ilvl="6" w:tplc="3A008308" w:tentative="1">
      <w:start w:val="1"/>
      <w:numFmt w:val="bullet"/>
      <w:lvlText w:val="•"/>
      <w:lvlJc w:val="left"/>
      <w:pPr>
        <w:tabs>
          <w:tab w:val="num" w:pos="5040"/>
        </w:tabs>
        <w:ind w:left="5040" w:hanging="360"/>
      </w:pPr>
      <w:rPr>
        <w:rFonts w:ascii="Times New Roman" w:hAnsi="Times New Roman" w:hint="default"/>
      </w:rPr>
    </w:lvl>
    <w:lvl w:ilvl="7" w:tplc="55E80B2A" w:tentative="1">
      <w:start w:val="1"/>
      <w:numFmt w:val="bullet"/>
      <w:lvlText w:val="•"/>
      <w:lvlJc w:val="left"/>
      <w:pPr>
        <w:tabs>
          <w:tab w:val="num" w:pos="5760"/>
        </w:tabs>
        <w:ind w:left="5760" w:hanging="360"/>
      </w:pPr>
      <w:rPr>
        <w:rFonts w:ascii="Times New Roman" w:hAnsi="Times New Roman" w:hint="default"/>
      </w:rPr>
    </w:lvl>
    <w:lvl w:ilvl="8" w:tplc="A45E52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97F6101"/>
    <w:multiLevelType w:val="hybridMultilevel"/>
    <w:tmpl w:val="57E0A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9926E5"/>
    <w:multiLevelType w:val="hybridMultilevel"/>
    <w:tmpl w:val="63FC0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C466F"/>
    <w:multiLevelType w:val="hybridMultilevel"/>
    <w:tmpl w:val="4E88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97435"/>
    <w:multiLevelType w:val="hybridMultilevel"/>
    <w:tmpl w:val="22E073FA"/>
    <w:lvl w:ilvl="0" w:tplc="041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D574AF9"/>
    <w:multiLevelType w:val="hybridMultilevel"/>
    <w:tmpl w:val="19761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E03A13"/>
    <w:multiLevelType w:val="hybridMultilevel"/>
    <w:tmpl w:val="3D94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31"/>
  </w:num>
  <w:num w:numId="4">
    <w:abstractNumId w:val="20"/>
  </w:num>
  <w:num w:numId="5">
    <w:abstractNumId w:val="21"/>
  </w:num>
  <w:num w:numId="6">
    <w:abstractNumId w:val="13"/>
  </w:num>
  <w:num w:numId="7">
    <w:abstractNumId w:val="9"/>
  </w:num>
  <w:num w:numId="8">
    <w:abstractNumId w:val="16"/>
  </w:num>
  <w:num w:numId="9">
    <w:abstractNumId w:val="12"/>
  </w:num>
  <w:num w:numId="10">
    <w:abstractNumId w:val="29"/>
  </w:num>
  <w:num w:numId="11">
    <w:abstractNumId w:val="18"/>
  </w:num>
  <w:num w:numId="12">
    <w:abstractNumId w:val="24"/>
  </w:num>
  <w:num w:numId="13">
    <w:abstractNumId w:val="10"/>
  </w:num>
  <w:num w:numId="14">
    <w:abstractNumId w:val="22"/>
  </w:num>
  <w:num w:numId="15">
    <w:abstractNumId w:val="3"/>
  </w:num>
  <w:num w:numId="16">
    <w:abstractNumId w:val="19"/>
  </w:num>
  <w:num w:numId="17">
    <w:abstractNumId w:val="30"/>
  </w:num>
  <w:num w:numId="18">
    <w:abstractNumId w:val="17"/>
  </w:num>
  <w:num w:numId="19">
    <w:abstractNumId w:val="14"/>
  </w:num>
  <w:num w:numId="20">
    <w:abstractNumId w:val="27"/>
  </w:num>
  <w:num w:numId="21">
    <w:abstractNumId w:val="33"/>
  </w:num>
  <w:num w:numId="22">
    <w:abstractNumId w:val="6"/>
  </w:num>
  <w:num w:numId="23">
    <w:abstractNumId w:val="28"/>
  </w:num>
  <w:num w:numId="24">
    <w:abstractNumId w:val="26"/>
  </w:num>
  <w:num w:numId="25">
    <w:abstractNumId w:val="32"/>
  </w:num>
  <w:num w:numId="26">
    <w:abstractNumId w:val="7"/>
  </w:num>
  <w:num w:numId="27">
    <w:abstractNumId w:val="0"/>
  </w:num>
  <w:num w:numId="28">
    <w:abstractNumId w:val="35"/>
  </w:num>
  <w:num w:numId="29">
    <w:abstractNumId w:val="25"/>
  </w:num>
  <w:num w:numId="30">
    <w:abstractNumId w:val="5"/>
  </w:num>
  <w:num w:numId="31">
    <w:abstractNumId w:val="23"/>
  </w:num>
  <w:num w:numId="32">
    <w:abstractNumId w:val="1"/>
  </w:num>
  <w:num w:numId="33">
    <w:abstractNumId w:val="15"/>
  </w:num>
  <w:num w:numId="34">
    <w:abstractNumId w:val="2"/>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4F"/>
    <w:rsid w:val="00011B66"/>
    <w:rsid w:val="000507D6"/>
    <w:rsid w:val="000C0E30"/>
    <w:rsid w:val="00113612"/>
    <w:rsid w:val="001539D2"/>
    <w:rsid w:val="0016585D"/>
    <w:rsid w:val="00171693"/>
    <w:rsid w:val="0018777F"/>
    <w:rsid w:val="001A2A06"/>
    <w:rsid w:val="001B5080"/>
    <w:rsid w:val="00256002"/>
    <w:rsid w:val="002904DE"/>
    <w:rsid w:val="003840E9"/>
    <w:rsid w:val="004B5F68"/>
    <w:rsid w:val="00560FF0"/>
    <w:rsid w:val="005C324D"/>
    <w:rsid w:val="00646D4B"/>
    <w:rsid w:val="006A3CBC"/>
    <w:rsid w:val="006C0B77"/>
    <w:rsid w:val="007104B7"/>
    <w:rsid w:val="00795B07"/>
    <w:rsid w:val="007970D0"/>
    <w:rsid w:val="007B0983"/>
    <w:rsid w:val="007E64A5"/>
    <w:rsid w:val="008242FF"/>
    <w:rsid w:val="008401FA"/>
    <w:rsid w:val="00870751"/>
    <w:rsid w:val="008C11BF"/>
    <w:rsid w:val="008F4566"/>
    <w:rsid w:val="00922C48"/>
    <w:rsid w:val="00952842"/>
    <w:rsid w:val="009B703E"/>
    <w:rsid w:val="00A43E9D"/>
    <w:rsid w:val="00A84C68"/>
    <w:rsid w:val="00A918C8"/>
    <w:rsid w:val="00A9387B"/>
    <w:rsid w:val="00B20EE3"/>
    <w:rsid w:val="00B83996"/>
    <w:rsid w:val="00B915B7"/>
    <w:rsid w:val="00B96810"/>
    <w:rsid w:val="00B96E4F"/>
    <w:rsid w:val="00C032F3"/>
    <w:rsid w:val="00C564E7"/>
    <w:rsid w:val="00CE649C"/>
    <w:rsid w:val="00E97B94"/>
    <w:rsid w:val="00EA59DF"/>
    <w:rsid w:val="00ED0CE2"/>
    <w:rsid w:val="00EE4070"/>
    <w:rsid w:val="00F12C76"/>
    <w:rsid w:val="00FE209F"/>
    <w:rsid w:val="00FF07E3"/>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D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284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4B7"/>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7104B7"/>
    <w:pPr>
      <w:spacing w:before="100" w:beforeAutospacing="1" w:after="100" w:afterAutospacing="1"/>
    </w:pPr>
  </w:style>
  <w:style w:type="paragraph" w:customStyle="1" w:styleId="c0">
    <w:name w:val="c0"/>
    <w:basedOn w:val="a"/>
    <w:rsid w:val="004B5F68"/>
    <w:pPr>
      <w:spacing w:before="100" w:beforeAutospacing="1" w:after="100" w:afterAutospacing="1"/>
    </w:pPr>
    <w:rPr>
      <w:rFonts w:ascii="Times" w:eastAsiaTheme="minorEastAsia" w:hAnsi="Times" w:cstheme="minorBidi"/>
      <w:sz w:val="20"/>
      <w:szCs w:val="20"/>
    </w:rPr>
  </w:style>
  <w:style w:type="character" w:customStyle="1" w:styleId="c1">
    <w:name w:val="c1"/>
    <w:basedOn w:val="a0"/>
    <w:rsid w:val="004B5F68"/>
  </w:style>
  <w:style w:type="paragraph" w:styleId="a5">
    <w:name w:val="Balloon Text"/>
    <w:basedOn w:val="a"/>
    <w:link w:val="a6"/>
    <w:uiPriority w:val="99"/>
    <w:semiHidden/>
    <w:unhideWhenUsed/>
    <w:rsid w:val="00ED0CE2"/>
    <w:rPr>
      <w:rFonts w:ascii="Tahoma" w:hAnsi="Tahoma" w:cs="Tahoma"/>
      <w:sz w:val="16"/>
      <w:szCs w:val="16"/>
    </w:rPr>
  </w:style>
  <w:style w:type="character" w:customStyle="1" w:styleId="a6">
    <w:name w:val="Текст выноски Знак"/>
    <w:basedOn w:val="a0"/>
    <w:link w:val="a5"/>
    <w:uiPriority w:val="99"/>
    <w:semiHidden/>
    <w:rsid w:val="00ED0CE2"/>
    <w:rPr>
      <w:rFonts w:ascii="Tahoma" w:eastAsia="Times New Roman" w:hAnsi="Tahoma" w:cs="Tahoma"/>
      <w:sz w:val="16"/>
      <w:szCs w:val="16"/>
      <w:lang w:eastAsia="ru-RU"/>
    </w:rPr>
  </w:style>
  <w:style w:type="character" w:styleId="a7">
    <w:name w:val="Strong"/>
    <w:basedOn w:val="a0"/>
    <w:uiPriority w:val="22"/>
    <w:qFormat/>
    <w:rsid w:val="00113612"/>
    <w:rPr>
      <w:b/>
      <w:bCs/>
    </w:rPr>
  </w:style>
  <w:style w:type="paragraph" w:styleId="a8">
    <w:name w:val="header"/>
    <w:basedOn w:val="a"/>
    <w:link w:val="a9"/>
    <w:uiPriority w:val="99"/>
    <w:unhideWhenUsed/>
    <w:rsid w:val="00011B66"/>
    <w:pPr>
      <w:tabs>
        <w:tab w:val="center" w:pos="4677"/>
        <w:tab w:val="right" w:pos="9355"/>
      </w:tabs>
    </w:pPr>
  </w:style>
  <w:style w:type="character" w:customStyle="1" w:styleId="a9">
    <w:name w:val="Верхний колонтитул Знак"/>
    <w:basedOn w:val="a0"/>
    <w:link w:val="a8"/>
    <w:uiPriority w:val="99"/>
    <w:rsid w:val="00011B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B66"/>
    <w:pPr>
      <w:tabs>
        <w:tab w:val="center" w:pos="4677"/>
        <w:tab w:val="right" w:pos="9355"/>
      </w:tabs>
    </w:pPr>
  </w:style>
  <w:style w:type="character" w:customStyle="1" w:styleId="ab">
    <w:name w:val="Нижний колонтитул Знак"/>
    <w:basedOn w:val="a0"/>
    <w:link w:val="aa"/>
    <w:uiPriority w:val="99"/>
    <w:rsid w:val="00011B66"/>
    <w:rPr>
      <w:rFonts w:ascii="Times New Roman" w:eastAsia="Times New Roman" w:hAnsi="Times New Roman" w:cs="Times New Roman"/>
      <w:sz w:val="24"/>
      <w:szCs w:val="24"/>
      <w:lang w:eastAsia="ru-RU"/>
    </w:rPr>
  </w:style>
  <w:style w:type="paragraph" w:styleId="ac">
    <w:name w:val="No Spacing"/>
    <w:link w:val="ad"/>
    <w:uiPriority w:val="1"/>
    <w:qFormat/>
    <w:rsid w:val="00952842"/>
    <w:pPr>
      <w:spacing w:after="0" w:line="240" w:lineRule="auto"/>
    </w:pPr>
    <w:rPr>
      <w:rFonts w:eastAsiaTheme="minorEastAsia"/>
      <w:lang w:eastAsia="ru-RU"/>
    </w:rPr>
  </w:style>
  <w:style w:type="character" w:customStyle="1" w:styleId="ad">
    <w:name w:val="Без интервала Знак"/>
    <w:basedOn w:val="a0"/>
    <w:link w:val="ac"/>
    <w:uiPriority w:val="1"/>
    <w:rsid w:val="00952842"/>
    <w:rPr>
      <w:rFonts w:eastAsiaTheme="minorEastAsia"/>
      <w:lang w:eastAsia="ru-RU"/>
    </w:rPr>
  </w:style>
  <w:style w:type="character" w:customStyle="1" w:styleId="10">
    <w:name w:val="Заголовок 1 Знак"/>
    <w:basedOn w:val="a0"/>
    <w:link w:val="1"/>
    <w:uiPriority w:val="9"/>
    <w:rsid w:val="00952842"/>
    <w:rPr>
      <w:rFonts w:asciiTheme="majorHAnsi" w:eastAsiaTheme="majorEastAsia" w:hAnsiTheme="majorHAnsi" w:cstheme="majorBidi"/>
      <w:b/>
      <w:bCs/>
      <w:color w:val="2F5496" w:themeColor="accent1" w:themeShade="BF"/>
      <w:sz w:val="28"/>
      <w:szCs w:val="28"/>
      <w:lang w:eastAsia="ru-RU"/>
    </w:rPr>
  </w:style>
  <w:style w:type="paragraph" w:styleId="ae">
    <w:name w:val="TOC Heading"/>
    <w:basedOn w:val="1"/>
    <w:next w:val="a"/>
    <w:uiPriority w:val="39"/>
    <w:semiHidden/>
    <w:unhideWhenUsed/>
    <w:qFormat/>
    <w:rsid w:val="00952842"/>
    <w:pPr>
      <w:spacing w:line="276" w:lineRule="auto"/>
      <w:outlineLvl w:val="9"/>
    </w:pPr>
  </w:style>
  <w:style w:type="table" w:styleId="af">
    <w:name w:val="Table Grid"/>
    <w:basedOn w:val="a1"/>
    <w:uiPriority w:val="39"/>
    <w:rsid w:val="001A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284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4B7"/>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7104B7"/>
    <w:pPr>
      <w:spacing w:before="100" w:beforeAutospacing="1" w:after="100" w:afterAutospacing="1"/>
    </w:pPr>
  </w:style>
  <w:style w:type="paragraph" w:customStyle="1" w:styleId="c0">
    <w:name w:val="c0"/>
    <w:basedOn w:val="a"/>
    <w:rsid w:val="004B5F68"/>
    <w:pPr>
      <w:spacing w:before="100" w:beforeAutospacing="1" w:after="100" w:afterAutospacing="1"/>
    </w:pPr>
    <w:rPr>
      <w:rFonts w:ascii="Times" w:eastAsiaTheme="minorEastAsia" w:hAnsi="Times" w:cstheme="minorBidi"/>
      <w:sz w:val="20"/>
      <w:szCs w:val="20"/>
    </w:rPr>
  </w:style>
  <w:style w:type="character" w:customStyle="1" w:styleId="c1">
    <w:name w:val="c1"/>
    <w:basedOn w:val="a0"/>
    <w:rsid w:val="004B5F68"/>
  </w:style>
  <w:style w:type="paragraph" w:styleId="a5">
    <w:name w:val="Balloon Text"/>
    <w:basedOn w:val="a"/>
    <w:link w:val="a6"/>
    <w:uiPriority w:val="99"/>
    <w:semiHidden/>
    <w:unhideWhenUsed/>
    <w:rsid w:val="00ED0CE2"/>
    <w:rPr>
      <w:rFonts w:ascii="Tahoma" w:hAnsi="Tahoma" w:cs="Tahoma"/>
      <w:sz w:val="16"/>
      <w:szCs w:val="16"/>
    </w:rPr>
  </w:style>
  <w:style w:type="character" w:customStyle="1" w:styleId="a6">
    <w:name w:val="Текст выноски Знак"/>
    <w:basedOn w:val="a0"/>
    <w:link w:val="a5"/>
    <w:uiPriority w:val="99"/>
    <w:semiHidden/>
    <w:rsid w:val="00ED0CE2"/>
    <w:rPr>
      <w:rFonts w:ascii="Tahoma" w:eastAsia="Times New Roman" w:hAnsi="Tahoma" w:cs="Tahoma"/>
      <w:sz w:val="16"/>
      <w:szCs w:val="16"/>
      <w:lang w:eastAsia="ru-RU"/>
    </w:rPr>
  </w:style>
  <w:style w:type="character" w:styleId="a7">
    <w:name w:val="Strong"/>
    <w:basedOn w:val="a0"/>
    <w:uiPriority w:val="22"/>
    <w:qFormat/>
    <w:rsid w:val="00113612"/>
    <w:rPr>
      <w:b/>
      <w:bCs/>
    </w:rPr>
  </w:style>
  <w:style w:type="paragraph" w:styleId="a8">
    <w:name w:val="header"/>
    <w:basedOn w:val="a"/>
    <w:link w:val="a9"/>
    <w:uiPriority w:val="99"/>
    <w:unhideWhenUsed/>
    <w:rsid w:val="00011B66"/>
    <w:pPr>
      <w:tabs>
        <w:tab w:val="center" w:pos="4677"/>
        <w:tab w:val="right" w:pos="9355"/>
      </w:tabs>
    </w:pPr>
  </w:style>
  <w:style w:type="character" w:customStyle="1" w:styleId="a9">
    <w:name w:val="Верхний колонтитул Знак"/>
    <w:basedOn w:val="a0"/>
    <w:link w:val="a8"/>
    <w:uiPriority w:val="99"/>
    <w:rsid w:val="00011B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1B66"/>
    <w:pPr>
      <w:tabs>
        <w:tab w:val="center" w:pos="4677"/>
        <w:tab w:val="right" w:pos="9355"/>
      </w:tabs>
    </w:pPr>
  </w:style>
  <w:style w:type="character" w:customStyle="1" w:styleId="ab">
    <w:name w:val="Нижний колонтитул Знак"/>
    <w:basedOn w:val="a0"/>
    <w:link w:val="aa"/>
    <w:uiPriority w:val="99"/>
    <w:rsid w:val="00011B66"/>
    <w:rPr>
      <w:rFonts w:ascii="Times New Roman" w:eastAsia="Times New Roman" w:hAnsi="Times New Roman" w:cs="Times New Roman"/>
      <w:sz w:val="24"/>
      <w:szCs w:val="24"/>
      <w:lang w:eastAsia="ru-RU"/>
    </w:rPr>
  </w:style>
  <w:style w:type="paragraph" w:styleId="ac">
    <w:name w:val="No Spacing"/>
    <w:link w:val="ad"/>
    <w:uiPriority w:val="1"/>
    <w:qFormat/>
    <w:rsid w:val="00952842"/>
    <w:pPr>
      <w:spacing w:after="0" w:line="240" w:lineRule="auto"/>
    </w:pPr>
    <w:rPr>
      <w:rFonts w:eastAsiaTheme="minorEastAsia"/>
      <w:lang w:eastAsia="ru-RU"/>
    </w:rPr>
  </w:style>
  <w:style w:type="character" w:customStyle="1" w:styleId="ad">
    <w:name w:val="Без интервала Знак"/>
    <w:basedOn w:val="a0"/>
    <w:link w:val="ac"/>
    <w:uiPriority w:val="1"/>
    <w:rsid w:val="00952842"/>
    <w:rPr>
      <w:rFonts w:eastAsiaTheme="minorEastAsia"/>
      <w:lang w:eastAsia="ru-RU"/>
    </w:rPr>
  </w:style>
  <w:style w:type="character" w:customStyle="1" w:styleId="10">
    <w:name w:val="Заголовок 1 Знак"/>
    <w:basedOn w:val="a0"/>
    <w:link w:val="1"/>
    <w:uiPriority w:val="9"/>
    <w:rsid w:val="00952842"/>
    <w:rPr>
      <w:rFonts w:asciiTheme="majorHAnsi" w:eastAsiaTheme="majorEastAsia" w:hAnsiTheme="majorHAnsi" w:cstheme="majorBidi"/>
      <w:b/>
      <w:bCs/>
      <w:color w:val="2F5496" w:themeColor="accent1" w:themeShade="BF"/>
      <w:sz w:val="28"/>
      <w:szCs w:val="28"/>
      <w:lang w:eastAsia="ru-RU"/>
    </w:rPr>
  </w:style>
  <w:style w:type="paragraph" w:styleId="ae">
    <w:name w:val="TOC Heading"/>
    <w:basedOn w:val="1"/>
    <w:next w:val="a"/>
    <w:uiPriority w:val="39"/>
    <w:semiHidden/>
    <w:unhideWhenUsed/>
    <w:qFormat/>
    <w:rsid w:val="00952842"/>
    <w:pPr>
      <w:spacing w:line="276" w:lineRule="auto"/>
      <w:outlineLvl w:val="9"/>
    </w:pPr>
  </w:style>
  <w:style w:type="table" w:styleId="af">
    <w:name w:val="Table Grid"/>
    <w:basedOn w:val="a1"/>
    <w:uiPriority w:val="39"/>
    <w:rsid w:val="001A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4599">
      <w:bodyDiv w:val="1"/>
      <w:marLeft w:val="0"/>
      <w:marRight w:val="0"/>
      <w:marTop w:val="0"/>
      <w:marBottom w:val="0"/>
      <w:divBdr>
        <w:top w:val="none" w:sz="0" w:space="0" w:color="auto"/>
        <w:left w:val="none" w:sz="0" w:space="0" w:color="auto"/>
        <w:bottom w:val="none" w:sz="0" w:space="0" w:color="auto"/>
        <w:right w:val="none" w:sz="0" w:space="0" w:color="auto"/>
      </w:divBdr>
    </w:div>
    <w:div w:id="407847338">
      <w:bodyDiv w:val="1"/>
      <w:marLeft w:val="0"/>
      <w:marRight w:val="0"/>
      <w:marTop w:val="0"/>
      <w:marBottom w:val="0"/>
      <w:divBdr>
        <w:top w:val="none" w:sz="0" w:space="0" w:color="auto"/>
        <w:left w:val="none" w:sz="0" w:space="0" w:color="auto"/>
        <w:bottom w:val="none" w:sz="0" w:space="0" w:color="auto"/>
        <w:right w:val="none" w:sz="0" w:space="0" w:color="auto"/>
      </w:divBdr>
    </w:div>
    <w:div w:id="587036111">
      <w:bodyDiv w:val="1"/>
      <w:marLeft w:val="0"/>
      <w:marRight w:val="0"/>
      <w:marTop w:val="0"/>
      <w:marBottom w:val="0"/>
      <w:divBdr>
        <w:top w:val="none" w:sz="0" w:space="0" w:color="auto"/>
        <w:left w:val="none" w:sz="0" w:space="0" w:color="auto"/>
        <w:bottom w:val="none" w:sz="0" w:space="0" w:color="auto"/>
        <w:right w:val="none" w:sz="0" w:space="0" w:color="auto"/>
      </w:divBdr>
    </w:div>
    <w:div w:id="609288746">
      <w:bodyDiv w:val="1"/>
      <w:marLeft w:val="0"/>
      <w:marRight w:val="0"/>
      <w:marTop w:val="0"/>
      <w:marBottom w:val="0"/>
      <w:divBdr>
        <w:top w:val="none" w:sz="0" w:space="0" w:color="auto"/>
        <w:left w:val="none" w:sz="0" w:space="0" w:color="auto"/>
        <w:bottom w:val="none" w:sz="0" w:space="0" w:color="auto"/>
        <w:right w:val="none" w:sz="0" w:space="0" w:color="auto"/>
      </w:divBdr>
    </w:div>
    <w:div w:id="968048597">
      <w:bodyDiv w:val="1"/>
      <w:marLeft w:val="0"/>
      <w:marRight w:val="0"/>
      <w:marTop w:val="0"/>
      <w:marBottom w:val="0"/>
      <w:divBdr>
        <w:top w:val="none" w:sz="0" w:space="0" w:color="auto"/>
        <w:left w:val="none" w:sz="0" w:space="0" w:color="auto"/>
        <w:bottom w:val="none" w:sz="0" w:space="0" w:color="auto"/>
        <w:right w:val="none" w:sz="0" w:space="0" w:color="auto"/>
      </w:divBdr>
    </w:div>
    <w:div w:id="989092714">
      <w:bodyDiv w:val="1"/>
      <w:marLeft w:val="0"/>
      <w:marRight w:val="0"/>
      <w:marTop w:val="0"/>
      <w:marBottom w:val="0"/>
      <w:divBdr>
        <w:top w:val="none" w:sz="0" w:space="0" w:color="auto"/>
        <w:left w:val="none" w:sz="0" w:space="0" w:color="auto"/>
        <w:bottom w:val="none" w:sz="0" w:space="0" w:color="auto"/>
        <w:right w:val="none" w:sz="0" w:space="0" w:color="auto"/>
      </w:divBdr>
    </w:div>
    <w:div w:id="1074624973">
      <w:bodyDiv w:val="1"/>
      <w:marLeft w:val="0"/>
      <w:marRight w:val="0"/>
      <w:marTop w:val="0"/>
      <w:marBottom w:val="0"/>
      <w:divBdr>
        <w:top w:val="none" w:sz="0" w:space="0" w:color="auto"/>
        <w:left w:val="none" w:sz="0" w:space="0" w:color="auto"/>
        <w:bottom w:val="none" w:sz="0" w:space="0" w:color="auto"/>
        <w:right w:val="none" w:sz="0" w:space="0" w:color="auto"/>
      </w:divBdr>
    </w:div>
    <w:div w:id="1150446273">
      <w:bodyDiv w:val="1"/>
      <w:marLeft w:val="0"/>
      <w:marRight w:val="0"/>
      <w:marTop w:val="0"/>
      <w:marBottom w:val="0"/>
      <w:divBdr>
        <w:top w:val="none" w:sz="0" w:space="0" w:color="auto"/>
        <w:left w:val="none" w:sz="0" w:space="0" w:color="auto"/>
        <w:bottom w:val="none" w:sz="0" w:space="0" w:color="auto"/>
        <w:right w:val="none" w:sz="0" w:space="0" w:color="auto"/>
      </w:divBdr>
    </w:div>
    <w:div w:id="1654288775">
      <w:bodyDiv w:val="1"/>
      <w:marLeft w:val="0"/>
      <w:marRight w:val="0"/>
      <w:marTop w:val="0"/>
      <w:marBottom w:val="0"/>
      <w:divBdr>
        <w:top w:val="none" w:sz="0" w:space="0" w:color="auto"/>
        <w:left w:val="none" w:sz="0" w:space="0" w:color="auto"/>
        <w:bottom w:val="none" w:sz="0" w:space="0" w:color="auto"/>
        <w:right w:val="none" w:sz="0" w:space="0" w:color="auto"/>
      </w:divBdr>
    </w:div>
    <w:div w:id="1745224591">
      <w:bodyDiv w:val="1"/>
      <w:marLeft w:val="0"/>
      <w:marRight w:val="0"/>
      <w:marTop w:val="0"/>
      <w:marBottom w:val="0"/>
      <w:divBdr>
        <w:top w:val="none" w:sz="0" w:space="0" w:color="auto"/>
        <w:left w:val="none" w:sz="0" w:space="0" w:color="auto"/>
        <w:bottom w:val="none" w:sz="0" w:space="0" w:color="auto"/>
        <w:right w:val="none" w:sz="0" w:space="0" w:color="auto"/>
      </w:divBdr>
    </w:div>
    <w:div w:id="1865902686">
      <w:bodyDiv w:val="1"/>
      <w:marLeft w:val="0"/>
      <w:marRight w:val="0"/>
      <w:marTop w:val="0"/>
      <w:marBottom w:val="0"/>
      <w:divBdr>
        <w:top w:val="none" w:sz="0" w:space="0" w:color="auto"/>
        <w:left w:val="none" w:sz="0" w:space="0" w:color="auto"/>
        <w:bottom w:val="none" w:sz="0" w:space="0" w:color="auto"/>
        <w:right w:val="none" w:sz="0" w:space="0" w:color="auto"/>
      </w:divBdr>
    </w:div>
    <w:div w:id="20922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AC9AA-EE2A-4DDC-B954-29B0DAB3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2022-11-14T07:20:00Z</cp:lastPrinted>
  <dcterms:created xsi:type="dcterms:W3CDTF">2022-12-14T03:13:00Z</dcterms:created>
  <dcterms:modified xsi:type="dcterms:W3CDTF">2023-01-31T02:56:00Z</dcterms:modified>
</cp:coreProperties>
</file>