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Лекция №1 Сердечные гликозиды</w:t>
      </w: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другие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кардиотонические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лекции: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Анатомо-физиологические особенности сердца и основные физиологические свойства сердечной мышцы.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2. Характеристика сердечной недостаточности.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Строение сердечных гликозидов и источники их получения.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4. Механизм действия сердечных гликозидов.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5. Классификация сердечных гликозидов, показания и противопоказания к применению.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6. Другие лекарственные препараты, содержащие сердечные гликозиды.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Кардиотонические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негликозидной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Анатомо-физиологические</w:t>
      </w: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сердца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человека – полый мышечный орган.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Сплошной перегородкой сердце делится на 2 половины: левую и правую. Вторая перегородка, идущая в горизонтальном направлении, образует в сердце 4 полости: верхние полости – предсердия, нижние –желудочки.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сердца взрослого человека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 0,425–0,570 кг.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–12–15 см длина, 8–10см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поперечный размер, 5-8 см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 переднезадний размер.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и размер сердца увеличиваются при некоторых заболеваниях (пороки сердца), а также у людей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занимающихся напряженным физическим трудом или спортом.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Стенка сердца состоит из 3-х слоев: внутреннего, среднего и наружного. Внутренний слой представлен эндотелиальной оболочкой (эндокард), которая выстилает внутреннюю поверхность сердца. Средний слой (миокард) – состоит из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поперечно-полосатой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мышцы. Мышечный слой предсердий развит значительно слабее, чем желудочков. Наружная поверхность сердца покрыта серозной оболочкой (эпикард), которая является внутренним листком околосердечной сумки – перикарда. Под серозной оболочкой располагаются наиболее крупные коронарные артерии и вены, которые обеспечивают кровоснабжение тканей сердца, а также большое скопление нервных клеток и нервных волокон,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инервирующих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сердце. 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Перикард (сердечная сорочка) окружает сердце. Как мешок и обеспечивает его свободное движение. Перикард состоит из 2-х листков: внутреннего (эпикард) и наружного, обращенного в сторону органов грудной клетки. Между листками перикарда имеется щель, заполненная серозной жидкостью. Перикард ограничивает растяжение сердца наполняющей его кровью и является опорой для коронарных сосудов.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различают 2 вида клапанов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артриовентрикулярные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(предсердно-желудочковые) и полулунные.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Артриовентрикулярные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клапаны располагаются между предсердием и соответствующим желудочком. Левое предсердие от левого желудочка отделяет двустворчатый клапан. На границе между правым предсердием и правым желудочком находится трехстворчатый клапан. Полулунные клапаны отделяют аорту от левого желудочка и легочный ствол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 от правого желудочка.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сокращении предсердий (систола) кровь из них поступает в желудочки. При сокращении желудочков кровь с силой выбрасывается в аорту и легочный ствол. Расслабление (диастола) предсердий и желудочков способствует наполнению полостей сердца кровью. Во время диастолы предсердий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артриовентрикулярные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клапаны открыты и кровь, поступающая из соответствующих сосудов, наполняет 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пресердия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желудочки. По мере заполнения желудочков кровью,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артриовентрикулярные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клапаны плотно смыкаются и отделяют полость предсердий от желудочков. К концу систолы желудочков давление в них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давления в аорте и легочном стволе. Это способствует открытию полулунных клапанов и кровь из желудочков поступает в соответствующие сосуды. Во время диастолы желудочков давление в них резко падает, что создает условия для обратного движения крови в сторону желудочков. При этом полулунные клапаны смыкаются.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физиологические свойства сердечной мышцы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Сердечная мышца, как и скелетная, обладает возбудимостью, способностью проводить возбуждение и сократимостью.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Возбудимость сердечной мышцы.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Сердечная мышца менее возбудима, чем скелетная. Для возникновения возбуждения в сердечной мышце необходимо применить более сильный раздражитель, чем для скелетной.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Проводимость.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Волны возбуждения проводятся по волокнам сердечной мышцы с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неодиноковой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скоростью. Возбуждение по волокнам мышц предсердий распространяется медленнее, чем по волокнам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мышц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желудочков. Возбуждение по волокнам скелетных мышц распространяется гораздо быстрее.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Сократимость.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Сократимость сердечной мышцы имеет свои особенности. Первыми сокращаются мышцы предсердий, затем внешние мышцы желудочков, затем внутренний слой желудочков, обеспечивая тем самым движение крови из полостей желудочков в аорту и легочный ствол. Сердце для механической работы (сокращения) получает энергию, которая освобождается при распаде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макроэнергетических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фосфоросодержащих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соединений (АТФ).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Автоматия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сердца.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организма в определенных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сердце способно сокращаться 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расслаблятся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сохраняя правильный ритм. Следовательно, причина сокращений изолированного сердца лежит в нем самом. Способность сердца ритмично сокращаться под влиянием импульсов, возникающих в нем самом. В сердце различают рабочую мускулатуру, представленную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поперечно-полосатой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мышцей и атипическую или специальную ткань, в которой возникает и проводится возбуждение (проводящая система сердца).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сердца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 перекачивать кровь, притекающую к сердцу по венам, в артерии. За счет этой функции происходит непрерывное движение крови в сосудах и кровь выполняет свои многообразные транспортные функции.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сердечной недостаточности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сердечной недостаточности лежит угнетение сократительный свойств миокарда.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Различают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7F22FC" w:rsidRPr="007F22FC" w:rsidRDefault="007F22FC" w:rsidP="007F2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острую сердечную недостаточность (ОСН)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 резким ослаблением сократительной функции миокарда (например, инфаркт миокарда (инфаркт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очаг омертвления в органе), тромбоз (закупорка просвета сосуда) легочной артерии, при повреждении сердечной мышцы различными инфекциями);</w:t>
      </w:r>
    </w:p>
    <w:p w:rsidR="007F22FC" w:rsidRPr="007F22FC" w:rsidRDefault="007F22FC" w:rsidP="007F22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хроническую сердечную недостаточность (ХСН)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при прогрессирующих заболеваниях системы кровообращения. Причины ХСН: а) пороки клапанного аппарата сердца (ревматизм); б) нарушение коронарного кровообращения (стенокардия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 кровоснабжения миокарда), гипертоническая болезнь, миокардиты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воспаления сердечной мышцы.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Различают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3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стадии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ХСН</w:t>
      </w:r>
    </w:p>
    <w:p w:rsidR="007F22FC" w:rsidRPr="007F22FC" w:rsidRDefault="007F22FC" w:rsidP="007F22F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Компенсаторная (скрытая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которая проявляется только при физических нагрузках.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Включаются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механизмы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компенсации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для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поддержания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нормальной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деятельности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7F22FC" w:rsidRPr="00B47CE3" w:rsidRDefault="007F22FC" w:rsidP="00B47CE3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Увеличиваются сердечные полости и их объем с целью увеличения ударного объема.</w:t>
      </w:r>
    </w:p>
    <w:p w:rsidR="007F22FC" w:rsidRPr="00B47CE3" w:rsidRDefault="007F22FC" w:rsidP="00B47CE3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Ударный (или систолический) объем сердца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количество крови, которое сердце выбрасывает в соответствующие сосуды при каждом сокращении.</w:t>
      </w:r>
    </w:p>
    <w:p w:rsidR="007F22FC" w:rsidRPr="00B47CE3" w:rsidRDefault="007F22FC" w:rsidP="00B47CE3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Минутный объем = ударный объем </w:t>
      </w:r>
      <w:proofErr w:type="spellStart"/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сокращений в минуту.</w:t>
      </w:r>
    </w:p>
    <w:p w:rsidR="007F22FC" w:rsidRPr="00B47CE3" w:rsidRDefault="007F22FC" w:rsidP="00B47CE3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Тахихардия</w:t>
      </w:r>
      <w:proofErr w:type="spellEnd"/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(учащение ритма сердечных сокращений.</w:t>
      </w:r>
    </w:p>
    <w:p w:rsidR="007F22FC" w:rsidRPr="00B47CE3" w:rsidRDefault="007F22FC" w:rsidP="00B47CE3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Гипертрофия миокарда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массы сердца в 2-3 раза.</w:t>
      </w:r>
    </w:p>
    <w:p w:rsidR="007F22FC" w:rsidRPr="00B47CE3" w:rsidRDefault="007F22FC" w:rsidP="00B47CE3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объема циркулирующей крови.</w:t>
      </w:r>
    </w:p>
    <w:p w:rsidR="007F22FC" w:rsidRPr="007F22FC" w:rsidRDefault="007F22FC" w:rsidP="007F22FC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Выраженная недостаточность кровообращения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 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харктеризуется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нарушением гемодинамики (гемодинамика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движение крови по сосудам) в покое. 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В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эту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стадию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максимально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включаются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компенсаторные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механизмы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Истощение резервов сердечной мышцы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, срыв компенсаторных механизмов, тяжелые нарушения гемодинамики, стойкие изменения обмена веществ с изменением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 всех органов.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Клинические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симптомы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ХСН</w:t>
      </w:r>
    </w:p>
    <w:p w:rsidR="007F22FC" w:rsidRPr="007F22FC" w:rsidRDefault="007F22FC" w:rsidP="007F22FC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Одышка.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снижения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ударного и минутного объемов ухудшается кровоснабжение и обеспечение тканей кислородом, возникает метаболический ацидоз, что вызывает возбуждение дыхательного центра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 одышка.</w:t>
      </w:r>
    </w:p>
    <w:p w:rsidR="007F22FC" w:rsidRPr="007F22FC" w:rsidRDefault="007F22FC" w:rsidP="007F22FC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Цианоз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синюшность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кожи и слизистых оболочек)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кончиков пальцев ног и губ, вследствие очень медленного кровотока и недостаточности обеспечения тканей кислородом.</w:t>
      </w:r>
    </w:p>
    <w:p w:rsidR="007F22FC" w:rsidRPr="007F22FC" w:rsidRDefault="007F22FC" w:rsidP="007F22FC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Тахикардия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 с угнетением сократительных свойств миокарда.</w:t>
      </w:r>
    </w:p>
    <w:p w:rsidR="007F22FC" w:rsidRPr="007F22FC" w:rsidRDefault="007F22FC" w:rsidP="007F22FC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Отеки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 с нарушением почечного кровоснабжения, задержкой ионов натрия и воды в организме.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Сердечные гликозиды (СГ)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вещества растительного происхождения, которые оказывают высокоизбирательное тонизирующее действие на сердце, используются для лечения сердечной недостаточности.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Входят в группу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кардиотонических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СГ построены по типу эфиров и состоят из сахарного компонента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гликона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 и несахарного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агликона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который имеет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стероидное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строение.</w:t>
      </w:r>
    </w:p>
    <w:p w:rsidR="007F22FC" w:rsidRPr="00B47CE3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Агликон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гликозида с рецепторами мембран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клеток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сердечной мышцы и специфический эффект СГ</w:t>
      </w:r>
      <w:r w:rsidR="00B4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CE3" w:rsidRPr="00B47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="00B47CE3" w:rsidRPr="00B47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кардиотоническое</w:t>
      </w:r>
      <w:proofErr w:type="spellEnd"/>
      <w:r w:rsidR="00B47CE3" w:rsidRPr="00B47C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действие).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Гликон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функциональные особенности СГ. Он влияет на полноту всасывания из кишечника, быстроту наступления эффекта и продолжительность действия, определяет биологическую активность гликозида в целом.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СГ выделяют из растительного сырья:</w:t>
      </w:r>
    </w:p>
    <w:p w:rsidR="007F22FC" w:rsidRPr="007F22FC" w:rsidRDefault="007F22FC" w:rsidP="007F22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дигитоксин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гликозид листьев наперстянки пурпурной (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Digitalis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purpurea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22FC" w:rsidRPr="007F22FC" w:rsidRDefault="007F22FC" w:rsidP="007F22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дигоксин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целанид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гликозид листьев наперстянки шерстистой ( 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Digitalis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lanata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22FC" w:rsidRPr="007F22FC" w:rsidRDefault="007F22FC" w:rsidP="007F22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строфантин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гликозид строфанта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Strofhantus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22FC" w:rsidRPr="007F22FC" w:rsidRDefault="007F22FC" w:rsidP="007F22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коргликон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новогаленовый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препарат из листьев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ландыша майского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Convallaria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majlis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сердечные гликозиды вызывают сходные изменения сердечной деятельности.</w:t>
      </w:r>
    </w:p>
    <w:p w:rsidR="007F22FC" w:rsidRPr="00B47CE3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Наиболее ценным свойством гликозидов является усиление сокращений сердца при его недостаточности (</w:t>
      </w:r>
      <w:proofErr w:type="spellStart"/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кардиотоническое</w:t>
      </w:r>
      <w:proofErr w:type="spellEnd"/>
      <w:r w:rsidRPr="00B47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действие).</w:t>
      </w:r>
    </w:p>
    <w:p w:rsidR="007635DB" w:rsidRPr="00B47CE3" w:rsidRDefault="0015779D" w:rsidP="0015779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Активность сердечных гликозидов </w:t>
      </w:r>
      <w:r w:rsidRPr="00B47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стандартизируется в соответствии с ГФ  в  </w:t>
      </w:r>
      <w:r w:rsidRPr="00B47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лягушачьих (ЛЕД), </w:t>
      </w:r>
      <w:r w:rsidRPr="00B47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7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голубиных (ГЕД) </w:t>
      </w:r>
      <w:r w:rsidRPr="00B47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7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кошачьих (КЕД) </w:t>
      </w:r>
      <w:r w:rsidRPr="00B47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единицах действия (ЕД). </w:t>
      </w:r>
    </w:p>
    <w:p w:rsidR="0015779D" w:rsidRPr="00B47CE3" w:rsidRDefault="0015779D" w:rsidP="0015779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7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стандарт берется наименьшая доза сердечного гликозида, вызывающая остановку сердца лягушки, голубя или кошки.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действия СГ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кардиотонического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гликозидов лежат сложные биохимические изменения в сердечной мышце, направленные на нормализацию нарушенного энергетического и электролитного обмена. В частности, гликозиды способствуют накоплению гликогена в миокарде, а также усвоению АТФ 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креатинфосфата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являются главными источниками энергии мышечных сокращений.</w:t>
      </w:r>
    </w:p>
    <w:p w:rsid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Креатинфосфат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представляет собой высокоэнергетическое соединение, которое накапливается в основном в мышечных и нервных тканях.</w:t>
      </w:r>
    </w:p>
    <w:p w:rsidR="00B47CE3" w:rsidRPr="00B47CE3" w:rsidRDefault="00325348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Кроме того, м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еханизм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кардиотонического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действия сердечных гликозидов 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в том, что они </w:t>
      </w:r>
      <w:r w:rsid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избирательно ингибируют 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Nа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,К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-АТФ-азу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мембраны</w:t>
      </w:r>
      <w:r w:rsid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кардиомиоцитов</w:t>
      </w:r>
      <w:proofErr w:type="spellEnd"/>
      <w:r w:rsid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, которая обеспечивает активный транспорт  ионов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proofErr w:type="spellStart"/>
      <w:r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Na</w:t>
      </w:r>
      <w:r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proofErr w:type="spellEnd"/>
      <w:r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из клетки в обмен на ионы </w:t>
      </w:r>
      <w:r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</w:t>
      </w:r>
      <w:r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r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. </w:t>
      </w:r>
      <w:r w:rsid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Это приводит к нарушению тока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Na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 и К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. В итоге содержание К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 внутри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кардиомиоцитов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снижается, а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Na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+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 - повышается. 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Происходит снижение 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выведения Са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2+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, что способствует увеличению его 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lastRenderedPageBreak/>
        <w:t>содержания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в клетке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У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вел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ичение содержания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ионов Са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2+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и обеспечивает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кардиотонический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эффект. Ионы Са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  <w:vertAlign w:val="superscript"/>
        </w:rPr>
        <w:t>2+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 взаимодействуют с </w:t>
      </w:r>
      <w:proofErr w:type="spellStart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тропониновым</w:t>
      </w:r>
      <w:proofErr w:type="spellEnd"/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комплексом и устраняют его тормозное влияние на сократительные белки миокарда. Про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исходит быстрое и сильное сокращение</w:t>
      </w:r>
      <w:r w:rsidR="00B47CE3" w:rsidRPr="00B47CE3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миокарда</w:t>
      </w:r>
      <w:r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</w:p>
    <w:p w:rsidR="00325348" w:rsidRPr="00325348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253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Важным фактором в механизме </w:t>
      </w:r>
      <w:proofErr w:type="spellStart"/>
      <w:r w:rsidRPr="003253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кардиотонического</w:t>
      </w:r>
      <w:proofErr w:type="spellEnd"/>
      <w:r w:rsidRPr="003253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действия гликозидов является то, что усиление сердечных сокращений не сопровождается существенным увеличением потребления кислорода. 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отношении сердечные гликозиды принципиально отличаются от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кардиостимулирующих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(например адреналина), которые резко усиливают потребление кислорода и вызывают истощение энергетических запасов сердечной мышцы.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Ценным свойством сердечных гликозидов является их способность уменьшить частоту сердечных сокращений. При недостаточности сердца частота его сокращений, как правило, увеличена.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Урежение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сердечных сокращений происходит за счет удлинения диастолы, т.е. периода сердечного отдыха, что благотворно сказывается на восстановлении силы сердечных сокращений. Механизм этого действия можно объяснить рефлекторным возбуждением блуждающего нерва.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способность гликозидов усиливать систолу (систолическое действие) и увеличивать диастолу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диастолическое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действие) является главным фактором благотворного их действия при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недостаточности. Это ведет к улучшению общего кровообращения, уменьшению застойных явлений, одышки, устранению отеков, улучшению функции всех органов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проявления влияния СГ на сердце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сердечных гликозидов на основные функции сердца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8"/>
        <w:gridCol w:w="2133"/>
        <w:gridCol w:w="4033"/>
      </w:tblGrid>
      <w:tr w:rsidR="007F22FC" w:rsidRPr="007F22FC" w:rsidTr="007F22FC">
        <w:tc>
          <w:tcPr>
            <w:tcW w:w="3340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Основные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виды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действия</w:t>
            </w:r>
            <w:proofErr w:type="spellEnd"/>
          </w:p>
        </w:tc>
        <w:tc>
          <w:tcPr>
            <w:tcW w:w="213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Направленность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действия</w:t>
            </w:r>
            <w:proofErr w:type="spellEnd"/>
          </w:p>
        </w:tc>
        <w:tc>
          <w:tcPr>
            <w:tcW w:w="4171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Характеристика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эффекта</w:t>
            </w:r>
            <w:proofErr w:type="spellEnd"/>
          </w:p>
        </w:tc>
      </w:tr>
      <w:tr w:rsidR="007F22FC" w:rsidRPr="007F22FC" w:rsidTr="007F22FC">
        <w:tc>
          <w:tcPr>
            <w:tcW w:w="3340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Инотропное</w:t>
            </w:r>
            <w:proofErr w:type="spellEnd"/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действие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изменение силы сердечных сокращений</w:t>
            </w:r>
          </w:p>
        </w:tc>
        <w:tc>
          <w:tcPr>
            <w:tcW w:w="213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положительное</w:t>
            </w:r>
            <w:proofErr w:type="spellEnd"/>
          </w:p>
        </w:tc>
        <w:tc>
          <w:tcPr>
            <w:tcW w:w="4171" w:type="dxa"/>
            <w:hideMark/>
          </w:tcPr>
          <w:p w:rsidR="007F22FC" w:rsidRPr="007F22FC" w:rsidRDefault="007F22FC" w:rsidP="007F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усиление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укорочение систолы;</w:t>
            </w:r>
          </w:p>
          <w:p w:rsidR="007F22FC" w:rsidRPr="007F22FC" w:rsidRDefault="007F22FC" w:rsidP="007F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повышение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тонуса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сердечной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мышцы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7F22FC" w:rsidRPr="007F22FC" w:rsidRDefault="007F22FC" w:rsidP="007F22F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силы сердечных сокращений</w:t>
            </w:r>
          </w:p>
        </w:tc>
      </w:tr>
      <w:tr w:rsidR="007F22FC" w:rsidRPr="007F22FC" w:rsidTr="007F22FC">
        <w:tc>
          <w:tcPr>
            <w:tcW w:w="3340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Хронотропное</w:t>
            </w:r>
            <w:proofErr w:type="spellEnd"/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действие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изменение частоты сердечных сокращений</w:t>
            </w:r>
          </w:p>
        </w:tc>
        <w:tc>
          <w:tcPr>
            <w:tcW w:w="213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отрицательное</w:t>
            </w:r>
            <w:proofErr w:type="spellEnd"/>
          </w:p>
        </w:tc>
        <w:tc>
          <w:tcPr>
            <w:tcW w:w="4171" w:type="dxa"/>
            <w:hideMark/>
          </w:tcPr>
          <w:p w:rsidR="007F22FC" w:rsidRPr="007F22FC" w:rsidRDefault="007F22FC" w:rsidP="007F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урежение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ритма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сердечных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сокращений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7F22FC" w:rsidRPr="007F22FC" w:rsidRDefault="007F22FC" w:rsidP="007F22F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удлинение диастолы, что увеличивает периоды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отдыха сердца и увеличивает эффективность питания больного сердца</w:t>
            </w:r>
          </w:p>
        </w:tc>
      </w:tr>
      <w:tr w:rsidR="007F22FC" w:rsidRPr="007F22FC" w:rsidTr="007F22FC">
        <w:tc>
          <w:tcPr>
            <w:tcW w:w="3340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Дромотропное</w:t>
            </w:r>
            <w:proofErr w:type="spellEnd"/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действие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изменение проведения импульсов по проводящей системе сердца</w:t>
            </w:r>
          </w:p>
        </w:tc>
        <w:tc>
          <w:tcPr>
            <w:tcW w:w="213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отрицательное</w:t>
            </w:r>
            <w:proofErr w:type="spellEnd"/>
          </w:p>
        </w:tc>
        <w:tc>
          <w:tcPr>
            <w:tcW w:w="4171" w:type="dxa"/>
            <w:hideMark/>
          </w:tcPr>
          <w:p w:rsidR="007F22FC" w:rsidRPr="007F22FC" w:rsidRDefault="007F22FC" w:rsidP="007F22F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угнетение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проводящей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системы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сердца</w:t>
            </w:r>
            <w:proofErr w:type="spellEnd"/>
          </w:p>
        </w:tc>
      </w:tr>
      <w:tr w:rsidR="007F22FC" w:rsidRPr="007F22FC" w:rsidTr="007F22FC">
        <w:tc>
          <w:tcPr>
            <w:tcW w:w="3340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2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Батмотропное действие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возбудимости миокарда</w:t>
            </w:r>
          </w:p>
        </w:tc>
        <w:tc>
          <w:tcPr>
            <w:tcW w:w="213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положительное</w:t>
            </w:r>
            <w:proofErr w:type="spellEnd"/>
          </w:p>
        </w:tc>
        <w:tc>
          <w:tcPr>
            <w:tcW w:w="4171" w:type="dxa"/>
            <w:hideMark/>
          </w:tcPr>
          <w:p w:rsidR="007F22FC" w:rsidRPr="007F22FC" w:rsidRDefault="007F22FC" w:rsidP="0032534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возбудимост</w:t>
            </w:r>
            <w:r w:rsidR="0032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волокон </w:t>
            </w:r>
            <w:proofErr w:type="spellStart"/>
            <w:r w:rsidR="0032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Пуркинье</w:t>
            </w:r>
            <w:proofErr w:type="spellEnd"/>
            <w:r w:rsidR="0032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25348" w:rsidRPr="0032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 к возникновению желудочковых аритмий</w:t>
            </w:r>
            <w:r w:rsidR="0032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5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побочный и опасный эффект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F22FC" w:rsidRPr="00325348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</w:pPr>
      <w:r w:rsidRPr="003253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Первые 2 вида эффектов лежат в основе терапевтического действия СГ, а положительный </w:t>
      </w:r>
      <w:proofErr w:type="spellStart"/>
      <w:r w:rsidRPr="003253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инотропный</w:t>
      </w:r>
      <w:proofErr w:type="spellEnd"/>
      <w:r w:rsidRPr="003253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эффект — является определяющим.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Классификация СГ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Основывается на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фармакокинетике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1. СГ быстрого, сильного и непродолжительного действия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строфантин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коргликон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14684" w:rsidRPr="007F22FC" w:rsidRDefault="00E14684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588770" cy="1323975"/>
            <wp:effectExtent l="19050" t="0" r="0" b="0"/>
            <wp:docPr id="1" name="Рисунок 0" descr="Строфан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фанти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304925" cy="1304925"/>
            <wp:effectExtent l="19050" t="0" r="9525" b="0"/>
            <wp:docPr id="2" name="Рисунок 1" descr="Коргликар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гликард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76350" cy="1276350"/>
            <wp:effectExtent l="19050" t="0" r="0" b="0"/>
            <wp:docPr id="3" name="Рисунок 2" descr="коргли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глико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2. СГ средней продолжительности действия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дигоксин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целанид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14684" w:rsidRPr="007F22FC" w:rsidRDefault="00E14684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343025" cy="1343025"/>
            <wp:effectExtent l="19050" t="0" r="9525" b="0"/>
            <wp:docPr id="4" name="Рисунок 3" descr="дигокс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гоксин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895475" cy="1058670"/>
            <wp:effectExtent l="19050" t="0" r="9525" b="0"/>
            <wp:docPr id="5" name="Рисунок 4" descr="целан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ланид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06" cy="106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СГ медленного, сильного и продолжительного действия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дигитоксин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14684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Гликозиды наперстянки –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дигитоксин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дигоксин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целанид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используют при ХСН. 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Гликозиды строфанта –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строфантин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ландыша –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коргликон</w:t>
      </w:r>
      <w:proofErr w:type="spellEnd"/>
      <w:r w:rsidR="00E1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4684">
        <w:rPr>
          <w:rFonts w:ascii="Times New Roman" w:eastAsia="Times New Roman" w:hAnsi="Times New Roman" w:cs="Times New Roman"/>
          <w:color w:val="000000"/>
          <w:sz w:val="28"/>
          <w:szCs w:val="28"/>
        </w:rPr>
        <w:t>коргликард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 ОСН.</w:t>
      </w:r>
    </w:p>
    <w:p w:rsidR="007F22FC" w:rsidRPr="007F22FC" w:rsidRDefault="007F22FC" w:rsidP="007F22F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Показания к применению</w:t>
      </w:r>
    </w:p>
    <w:p w:rsidR="007F22FC" w:rsidRPr="007F22FC" w:rsidRDefault="007F22FC" w:rsidP="007F22FC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ХСН при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декомпенсированных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клапанных пороках сердца.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Декомпенсация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отсутствие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уравновешивания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Атеросклеротическом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кардиосклерозе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Перегрузка миокарда при артериальной гипертензии.</w:t>
      </w:r>
    </w:p>
    <w:p w:rsidR="007F22FC" w:rsidRPr="007F22FC" w:rsidRDefault="007F22FC" w:rsidP="007F22FC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Мерцательная аритмия – это полностью неправильный, хаотичный ритм предсердий, который может достигать 600 сокращений в минуту.</w:t>
      </w:r>
    </w:p>
    <w:p w:rsidR="007F22FC" w:rsidRPr="007F22FC" w:rsidRDefault="007F22FC" w:rsidP="007F22FC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Трепетание предсердий – регулярное,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250-300 раз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минуту сокращение предсердий или части их миокарда; ритм желудочков правильный.</w:t>
      </w:r>
    </w:p>
    <w:p w:rsidR="007F22FC" w:rsidRPr="007F22FC" w:rsidRDefault="007F22FC" w:rsidP="007F22FC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Некоторые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формы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ОСН.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Побочное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действие</w:t>
      </w:r>
      <w:proofErr w:type="spellEnd"/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 обладают кумулятивными свойствами. Они наиболее выражены у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дигитоксина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дигоксина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целанида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менее выражены.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Строфантин</w:t>
      </w:r>
      <w:proofErr w:type="spellEnd"/>
      <w:r w:rsidR="000E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E091E">
        <w:rPr>
          <w:rFonts w:ascii="Times New Roman" w:eastAsia="Times New Roman" w:hAnsi="Times New Roman" w:cs="Times New Roman"/>
          <w:color w:val="000000"/>
          <w:sz w:val="28"/>
          <w:szCs w:val="28"/>
        </w:rPr>
        <w:t>коргликон</w:t>
      </w:r>
      <w:proofErr w:type="spellEnd"/>
      <w:r w:rsidR="000E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обладает этими свойствами.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Токсическое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действие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СГ</w:t>
      </w:r>
    </w:p>
    <w:p w:rsidR="007F22FC" w:rsidRPr="007F22FC" w:rsidRDefault="007F22FC" w:rsidP="007F22FC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Симптомы со стороны работы сердца.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Тахикардия, прерывающаяся желудочковыми экстрасистолами (внезапное сокращение желудочков). Давление резко возрастает до большой величины в результате спазма всех сосудов. Возбуждается весь нервно-двигательный аппарат сердца. Увеличивается количество образующихся двигательных импульсов и ускоряется их проводимость. Артериальное давление может колебаться, затем резко падает и развивается коллапс, остановка сердца.</w:t>
      </w:r>
    </w:p>
    <w:p w:rsidR="007F22FC" w:rsidRPr="007F22FC" w:rsidRDefault="007F22FC" w:rsidP="007F22FC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Неврологические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симптомы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Головокружение, слабость, бессонница, боли по ходу тройничного нерва, депрессия, потеря сознания, нарушение речи, зрения.</w:t>
      </w:r>
    </w:p>
    <w:p w:rsidR="007F22FC" w:rsidRPr="007F22FC" w:rsidRDefault="007F22FC" w:rsidP="007F22FC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функций ЖКТ (потеря аппетита, рвота, диарея).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Осложнения при лечении СГ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лечении СГ могут возникать интоксикации. Наиболее частыми бывают различные нарушения сердечного ритма (аритмии).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Они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могут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быть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обусловлены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7F22FC" w:rsidRPr="007F22FC" w:rsidRDefault="007F22FC" w:rsidP="007F22FC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Передозировкой препарата. Особенно в ходе длительной терапии (связано со способностью к кумуляции).</w:t>
      </w:r>
    </w:p>
    <w:p w:rsidR="007F22FC" w:rsidRPr="007F22FC" w:rsidRDefault="007F22FC" w:rsidP="007F22FC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чувствительностью больного к СГ.</w:t>
      </w:r>
    </w:p>
    <w:p w:rsidR="007F22FC" w:rsidRPr="007F22FC" w:rsidRDefault="007F22FC" w:rsidP="007F22FC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Дефицитом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ионов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калия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гипокалиемией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калия может быть обусловлен недостаточностью поступления калия с пищей или потерей калия при рвоте и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диспепсических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расстройствах.</w:t>
      </w:r>
    </w:p>
    <w:p w:rsidR="007F22FC" w:rsidRPr="007F22FC" w:rsidRDefault="007F22FC" w:rsidP="007F22FC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Повышенным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содержанием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кальция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гиперкальциемия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Меры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помощи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при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отравлении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СГ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снятия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гликозидной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интоксикации нужно либо восстановить содержание в миокарде ионов калия, либо связать избыток ионов кальция.</w:t>
      </w:r>
    </w:p>
    <w:p w:rsidR="007F22FC" w:rsidRPr="007F22FC" w:rsidRDefault="007F22FC" w:rsidP="007F22FC">
      <w:pPr>
        <w:numPr>
          <w:ilvl w:val="0"/>
          <w:numId w:val="1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Применение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препаратов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калия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калия хлорида внутрь 6-8 граммов в сутки (в виде раствора) или 1,0-1,5 калия хлорида в 500 мл 5% раствора глюкозы в/в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капельно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же целью можно использовать препараты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панангин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аспаркам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(ампулы) по 10-20 мл в/в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капельно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250-500 мл 0,9% натрия хлорида или 5%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р-ра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глюкозы. Или внутрь таблетки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панангина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аспаркама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 калия противопоказаны при почечной недостаточности.</w:t>
      </w:r>
    </w:p>
    <w:p w:rsidR="007F22FC" w:rsidRPr="007F22FC" w:rsidRDefault="007F22FC" w:rsidP="007F22FC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нейтрализации ионов кальция используют раствор натрия цитрата 2%-50-100 мл в/в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капельно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2FC" w:rsidRPr="007F22FC" w:rsidRDefault="007F22FC" w:rsidP="007F22FC">
      <w:pPr>
        <w:numPr>
          <w:ilvl w:val="0"/>
          <w:numId w:val="1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Антиаритмические средства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н-р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р-р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лидокаина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Лечение СГ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Лечение СГ, как правило, начинают в больничных условиях.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возможного развития побочных эффектов и интоксикации, больному подбирается «полная терапевтическая доза» – такое количество СГ, которое дает максимальный терапевтический эффект без проявления токсических симптомов.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период лечения СГ – период насыщения (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дигитализации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) – постепенно достигается полная терапевтическая доза.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Второй период лечения СГ – период поддерживающей терапии – назначают поддерживающую дозу, которая закрепляет и стабилизирует на достигнутом уровне терапевтический эффект.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Поддерживающая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терапия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проводится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амбулаторно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длительн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годами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Препараты</w:t>
      </w:r>
      <w:proofErr w:type="spellEnd"/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3"/>
        <w:gridCol w:w="6388"/>
      </w:tblGrid>
      <w:tr w:rsidR="007F22FC" w:rsidRPr="007F22FC" w:rsidTr="007F22FC">
        <w:tc>
          <w:tcPr>
            <w:tcW w:w="297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МНН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группировочное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6388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Торговое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</w:tr>
      <w:tr w:rsidR="007F22FC" w:rsidRPr="007F22FC" w:rsidTr="007F22FC">
        <w:tc>
          <w:tcPr>
            <w:tcW w:w="297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Дигоксин</w:t>
            </w:r>
            <w:proofErr w:type="spellEnd"/>
          </w:p>
        </w:tc>
        <w:tc>
          <w:tcPr>
            <w:tcW w:w="6388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Дигоксин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100 мкг (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/дет.), 250 мкг,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введения 250 мкг/1 мл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№10</w:t>
            </w:r>
          </w:p>
        </w:tc>
      </w:tr>
      <w:tr w:rsidR="007F22FC" w:rsidRPr="007F22FC" w:rsidTr="007F22FC">
        <w:tc>
          <w:tcPr>
            <w:tcW w:w="297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Ланатозид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6388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Целанид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250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мкг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№30</w:t>
            </w:r>
          </w:p>
        </w:tc>
      </w:tr>
      <w:tr w:rsidR="007F22FC" w:rsidRPr="007F22FC" w:rsidTr="007F22FC">
        <w:tc>
          <w:tcPr>
            <w:tcW w:w="297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Строфантин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К</w:t>
            </w:r>
          </w:p>
        </w:tc>
        <w:tc>
          <w:tcPr>
            <w:tcW w:w="6388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Строфантин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и в/м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250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мкг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/1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мл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амп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№10</w:t>
            </w:r>
          </w:p>
        </w:tc>
      </w:tr>
      <w:tr w:rsidR="007F22FC" w:rsidRPr="007F22FC" w:rsidTr="007F22FC">
        <w:tc>
          <w:tcPr>
            <w:tcW w:w="297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Коргликон</w:t>
            </w:r>
            <w:proofErr w:type="spellEnd"/>
          </w:p>
        </w:tc>
        <w:tc>
          <w:tcPr>
            <w:tcW w:w="6388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Коргликон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Коргликард</w:t>
            </w:r>
            <w:proofErr w:type="spellEnd"/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введения 600 мкг/1 мл: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№10</w:t>
            </w:r>
          </w:p>
        </w:tc>
      </w:tr>
    </w:tbl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Режим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дозирования</w:t>
      </w:r>
      <w:proofErr w:type="spellEnd"/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Дигоксин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Целанид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 – доза устанавливается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индивидуально, в зависимости от клинической картины заболевания и динамики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клинического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Взрослым при проведении </w:t>
      </w: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дигитализации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 в/м или в/в в суточной дозе,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разделенной на несколько приемов. При достижении насыщения переходят на поддерживающее лечение.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Строфантин</w:t>
      </w:r>
      <w:proofErr w:type="spellEnd"/>
      <w:r w:rsidRPr="007F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применяют внутривенно, внутримышечно, только в неотложных ситуациях при невозможности применения сердечных гликозидов внутрь.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Другие лекарственные препараты, содержащие СГ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proofErr w:type="spellStart"/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Н-ка</w:t>
      </w:r>
      <w:proofErr w:type="spellEnd"/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ландыша 25 мл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Кардиотоническое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средство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Показания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7F22FC" w:rsidRPr="002338BB" w:rsidRDefault="007F22FC" w:rsidP="002338BB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хроническая сердечная недостаточность 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 стадии;</w:t>
      </w:r>
    </w:p>
    <w:p w:rsidR="007F22FC" w:rsidRPr="002338BB" w:rsidRDefault="007F22FC" w:rsidP="002338BB">
      <w:pPr>
        <w:pStyle w:val="a7"/>
        <w:numPr>
          <w:ilvl w:val="0"/>
          <w:numId w:val="25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нейро-циркуляторная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дистония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338BB" w:rsidRDefault="007F22FC" w:rsidP="004245F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Внутрь,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по 15-20 капель,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1-12 капель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(в зависимости от возраста) 2-3 раза/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F7" w:rsidRPr="004245F7" w:rsidRDefault="004245F7" w:rsidP="004245F7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Адонис-бром табл.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ГН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Горицвета весеннего травы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экстракт+Калия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 бромид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Седативное средство.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Оказывает седативное и умеренное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кардиотоническое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 действие.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Показания: невротический синдром, в т.ч.сопровождающийся тахикардией.</w:t>
      </w:r>
    </w:p>
    <w:p w:rsidR="007F22FC" w:rsidRDefault="007F22FC" w:rsidP="002338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По 1 табл. 3 раза в день после еды. Курс – 25-30 дней.</w:t>
      </w:r>
    </w:p>
    <w:p w:rsidR="002338BB" w:rsidRPr="002338BB" w:rsidRDefault="002338BB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proofErr w:type="spellStart"/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Кардиовален</w:t>
      </w:r>
      <w:proofErr w:type="spellEnd"/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капли </w:t>
      </w:r>
      <w:proofErr w:type="spellStart"/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233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/пр.внутрь 15мл.и 25 мл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Состав: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>адонизид, жидкий</w:t>
      </w:r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экстракт боярышника, настойка валерианы, жидкий экстракт травы желтушника,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камфора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 рацемическая. натрия бромид.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Трава желтушника содержит сердечные гликозиды (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эризимин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эризимозид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38BB" w:rsidRDefault="002338BB" w:rsidP="002338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Оказывает </w:t>
      </w: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</w:rPr>
        <w:t>кардиотоническое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</w:rPr>
        <w:t xml:space="preserve"> и седативное действие.</w:t>
      </w:r>
    </w:p>
    <w:p w:rsidR="007F22FC" w:rsidRPr="002338BB" w:rsidRDefault="007F22FC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Показания:</w:t>
      </w:r>
    </w:p>
    <w:p w:rsidR="007F22FC" w:rsidRPr="002338BB" w:rsidRDefault="007F22FC" w:rsidP="002338BB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начальные стадии хронической сердечной недостаточности;</w:t>
      </w:r>
    </w:p>
    <w:p w:rsidR="007F22FC" w:rsidRPr="002338BB" w:rsidRDefault="007F22FC" w:rsidP="002338BB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кардиопатии</w:t>
      </w:r>
      <w:proofErr w:type="spellEnd"/>
      <w:r w:rsidRPr="002338B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F22FC" w:rsidRDefault="007F22FC" w:rsidP="002338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338BB">
        <w:rPr>
          <w:rFonts w:ascii="Times New Roman" w:eastAsia="Times New Roman" w:hAnsi="Times New Roman" w:cs="Times New Roman"/>
          <w:sz w:val="28"/>
          <w:szCs w:val="28"/>
        </w:rPr>
        <w:t>Внутрь, по 15-20 капель 1-2 раза в день.</w:t>
      </w:r>
    </w:p>
    <w:p w:rsidR="002338BB" w:rsidRPr="002338BB" w:rsidRDefault="002338BB" w:rsidP="002338BB">
      <w:pPr>
        <w:pStyle w:val="a7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Кардиопатия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 заболевание </w:t>
      </w: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сердечно-сосудистой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системы, характеризующееся различными отклонениями в физиологическом развитии тканей сердца. Как правило,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заболевание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 имеет связи с сердечным пороком или ревматизмом. Достаточно часто болезнь можно встретить у маленьких детей или подростков, а также у пожилых людей. Характеризуется функциональная </w:t>
      </w:r>
      <w:proofErr w:type="spellStart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кардиопатия</w:t>
      </w:r>
      <w:proofErr w:type="spellEnd"/>
      <w:r w:rsidRPr="007F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болями в сердце, одышкой, которые могут длиться на протяжении нескольких дней, а затем быстро проходить.</w:t>
      </w:r>
    </w:p>
    <w:p w:rsidR="007F22FC" w:rsidRPr="007F22FC" w:rsidRDefault="007F22FC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Кардиотонические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средства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негликозидной</w:t>
      </w:r>
      <w:proofErr w:type="spellEnd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структуры</w:t>
      </w:r>
      <w:proofErr w:type="spellEnd"/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4"/>
        <w:gridCol w:w="1716"/>
        <w:gridCol w:w="5823"/>
      </w:tblGrid>
      <w:tr w:rsidR="007F22FC" w:rsidRPr="007F22FC" w:rsidTr="002F596E">
        <w:tc>
          <w:tcPr>
            <w:tcW w:w="1904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МНН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</w:t>
            </w:r>
          </w:p>
        </w:tc>
        <w:tc>
          <w:tcPr>
            <w:tcW w:w="1716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Торговое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588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Показания, способ применения</w:t>
            </w:r>
          </w:p>
        </w:tc>
      </w:tr>
      <w:tr w:rsidR="007F22FC" w:rsidRPr="007F22FC" w:rsidTr="002F596E">
        <w:tc>
          <w:tcPr>
            <w:tcW w:w="1904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Добутамин</w:t>
            </w:r>
            <w:proofErr w:type="spellEnd"/>
          </w:p>
        </w:tc>
        <w:tc>
          <w:tcPr>
            <w:tcW w:w="1716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Добутамин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250 мг/50 мл: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№1</w:t>
            </w:r>
          </w:p>
        </w:tc>
        <w:tc>
          <w:tcPr>
            <w:tcW w:w="588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Бета1–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адреномиметик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ОСН (острый инфаркт миокарда;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кардиогенный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шок; последствия оперативного вмешательства на сердце). ХСН в качестве вспомогательного средства для временного поддержания больных.</w:t>
            </w:r>
          </w:p>
        </w:tc>
      </w:tr>
      <w:tr w:rsidR="007F22FC" w:rsidRPr="007F22FC" w:rsidTr="002338BB">
        <w:trPr>
          <w:trHeight w:val="70"/>
        </w:trPr>
        <w:tc>
          <w:tcPr>
            <w:tcW w:w="1904" w:type="dxa"/>
            <w:hideMark/>
          </w:tcPr>
          <w:p w:rsid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Допамин</w:t>
            </w:r>
            <w:proofErr w:type="spellEnd"/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Эпинефрин</w:t>
            </w:r>
            <w:proofErr w:type="spellEnd"/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Левомимендан</w:t>
            </w:r>
            <w:proofErr w:type="spellEnd"/>
          </w:p>
          <w:p w:rsidR="002338BB" w:rsidRP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hideMark/>
          </w:tcPr>
          <w:p w:rsid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Допамин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Дофамин концентрат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5 мг/мл: 5 мл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№5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№10</w:t>
            </w: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Адреналин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иньекций</w:t>
            </w:r>
            <w:proofErr w:type="spellEnd"/>
          </w:p>
          <w:p w:rsidR="002338BB" w:rsidRP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Симдакс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Агонист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допаминовых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рецепторов.</w:t>
            </w:r>
          </w:p>
          <w:p w:rsid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Шок различного генеза (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кардиогенный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послеоперационный, инфекционно-токсический, анафилактический). Острая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сердечно-сосудистая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недостаточность различного генеза, артериальная гипотензия, для усиления диуреза при отравлениях.</w:t>
            </w:r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Альфа, бета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адреномиметик</w:t>
            </w:r>
            <w:proofErr w:type="spellEnd"/>
          </w:p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0000" w:rsidRPr="002338BB" w:rsidRDefault="002338BB" w:rsidP="002338BB">
            <w:pPr>
              <w:spacing w:after="100" w:afterAutospacing="1"/>
              <w:ind w:left="36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Сенситизатор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кальция (повышает чувствительность к кальцию).  Я</w:t>
            </w:r>
            <w:r w:rsidR="00914670"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вляется селективным ингибитором ФДЭ 3.</w:t>
            </w:r>
          </w:p>
          <w:p w:rsidR="00000000" w:rsidRPr="002338BB" w:rsidRDefault="00914670" w:rsidP="002338BB">
            <w:pPr>
              <w:spacing w:after="100" w:afterAutospacing="1" w:line="240" w:lineRule="auto"/>
              <w:ind w:left="36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Повышает </w:t>
            </w: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чувствительность сократительных белков к кальцию путем связывания с </w:t>
            </w: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тропонином</w:t>
            </w:r>
            <w:proofErr w:type="spellEnd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миокарда в кальциево-зависимой фазе. </w:t>
            </w:r>
          </w:p>
          <w:p w:rsidR="00000000" w:rsidRPr="002338BB" w:rsidRDefault="00914670" w:rsidP="002338BB">
            <w:pPr>
              <w:spacing w:after="100" w:afterAutospacing="1" w:line="240" w:lineRule="auto"/>
              <w:ind w:left="36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Повышает силу сердечных сокращений, но не влияет на расслабление желудочков.</w:t>
            </w:r>
          </w:p>
          <w:p w:rsidR="00000000" w:rsidRPr="002338BB" w:rsidRDefault="00914670" w:rsidP="002338BB">
            <w:pPr>
              <w:spacing w:after="100" w:afterAutospacing="1" w:line="240" w:lineRule="auto"/>
              <w:ind w:left="36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Оказывает </w:t>
            </w: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вазодилатирующее</w:t>
            </w:r>
            <w:proofErr w:type="spellEnd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действие на артерии (включая ко</w:t>
            </w: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ронарные) и вены. </w:t>
            </w:r>
          </w:p>
          <w:p w:rsidR="00000000" w:rsidRDefault="00914670" w:rsidP="002338BB">
            <w:pPr>
              <w:spacing w:after="100" w:afterAutospacing="1" w:line="240" w:lineRule="auto"/>
              <w:ind w:left="36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Благодаря наличию положительного </w:t>
            </w: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инотропного</w:t>
            </w:r>
            <w:proofErr w:type="spellEnd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вазодилатирующего</w:t>
            </w:r>
            <w:proofErr w:type="spellEnd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действия, при сердечной недостаточности повышает силу сердечных сокращений и уменьшает как </w:t>
            </w: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преднагрузку</w:t>
            </w:r>
            <w:proofErr w:type="spellEnd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так и </w:t>
            </w: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постнагрузку</w:t>
            </w:r>
            <w:proofErr w:type="spellEnd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38BB" w:rsidRPr="007F22FC" w:rsidRDefault="00914670" w:rsidP="003B11E2">
            <w:pPr>
              <w:spacing w:after="100" w:afterAutospacing="1" w:line="240" w:lineRule="auto"/>
              <w:ind w:left="36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Увеличивает коронарный кровоток у пациентов, </w:t>
            </w:r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перенесших операции на сердце, и улучшает перфузию миокарда у пациентов с сердечной недостаточностью. Эти положительные эффекты достигаются без значительного повышения потребления миокардом кислорода. </w:t>
            </w:r>
          </w:p>
        </w:tc>
      </w:tr>
      <w:tr w:rsidR="007F22FC" w:rsidRPr="007F22FC" w:rsidTr="002F596E">
        <w:tc>
          <w:tcPr>
            <w:tcW w:w="1904" w:type="dxa"/>
            <w:hideMark/>
          </w:tcPr>
          <w:p w:rsidR="002338BB" w:rsidRDefault="002338BB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22FC" w:rsidRPr="002338BB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Убидекаренон</w:t>
            </w:r>
            <w:proofErr w:type="spellEnd"/>
          </w:p>
        </w:tc>
        <w:tc>
          <w:tcPr>
            <w:tcW w:w="1716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Кудесан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капли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/приема внутрь 3%: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15 мл, 20 мл, 25 мл, 50 мл, 60 мл или 100 мл в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пробками-капельн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Кудесан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табл.жеват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8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Препарат, нормализующий метаболизм миокарда, уменьшающий гипоксию тканей.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Убидекаренон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коэнзим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10,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убихинон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природное вещество, являющееся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витаминоподобным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коферментом.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Принимает участие в переносе электронов в транспортной цепочке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окислительно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восстановительных процессов, в процессе обмена энергии,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участвует в процессах клеточного дыхания, увеличивая синтез АТФ.</w:t>
            </w: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Показания: для профилактики и в составе комплексной терапии различных заболеваний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сердечно-сосудистой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системы: хроническая сердечная недостаточность; ИБС, в т.ч. инфаркт миокарда (в период 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восстановительной терапии); аритмии; артериальная гипертензия; период подготовки к проведению операций на сердце (аортокоронарное шунтирование, при пороках сердца).</w:t>
            </w: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старше 1 года:</w:t>
            </w: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профилактики и в составе комплексной терапии:</w:t>
            </w:r>
          </w:p>
          <w:p w:rsidR="007F22FC" w:rsidRPr="007F22FC" w:rsidRDefault="007F22FC" w:rsidP="007F22F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заболеваний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сердечно-сосудистой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системы: аритмии, хроническая сердечная недостаточность, период подготовки к проведению операций на сердце (врожденные и приобретенные пороки);</w:t>
            </w:r>
          </w:p>
        </w:tc>
      </w:tr>
      <w:tr w:rsidR="007F22FC" w:rsidRPr="007F22FC" w:rsidTr="002F596E">
        <w:tc>
          <w:tcPr>
            <w:tcW w:w="1904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Боярышника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плоды</w:t>
            </w:r>
            <w:proofErr w:type="spellEnd"/>
          </w:p>
        </w:tc>
        <w:tc>
          <w:tcPr>
            <w:tcW w:w="1716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Боярышника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настойка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10% 25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</w:tc>
        <w:tc>
          <w:tcPr>
            <w:tcW w:w="5883" w:type="dxa"/>
            <w:hideMark/>
          </w:tcPr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Действующие вещества боярышника понижают возбудимость ЦНС и сердечной мышцы, способствуют повышению сократимости последней, улучшению коронарного и мозгового кровообращения, устраняют головокружение. Боярышник способствует нормализации сердечного ритма. Благодаря наличию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тритерпеновых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соединений и </w:t>
            </w: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флавоноидов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оказывает спазмолитическое действие, избирательно расширяя сосуды сердца и головного мозга; гипотензивное действие; способствует нормализации венозного давления, улучшает функции сосудистых стенок.</w:t>
            </w: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Показания</w:t>
            </w:r>
            <w:proofErr w:type="spellEnd"/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7F22FC" w:rsidRPr="007F22FC" w:rsidRDefault="007F22FC" w:rsidP="007F22F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80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составе комплексной терапии при функциональных нарушениях деятельности сердца, артериальной гипертензии, ИБС, ангионеврозах, мерцательной аритмии, пароксизмальной тахикардии, атеросклерозе, климактерическом неврозе.</w:t>
            </w:r>
          </w:p>
          <w:p w:rsidR="007F22FC" w:rsidRPr="007F22FC" w:rsidRDefault="007F22FC" w:rsidP="007F22FC">
            <w:pPr>
              <w:spacing w:after="100" w:afterAutospacing="1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2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применения: 20-30 кап. 3-4 раза в день до еды. Детям — с 12 лет.</w:t>
            </w:r>
          </w:p>
        </w:tc>
      </w:tr>
    </w:tbl>
    <w:p w:rsidR="004245F7" w:rsidRDefault="004245F7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>
            <wp:extent cx="1162050" cy="1542369"/>
            <wp:effectExtent l="19050" t="0" r="0" b="0"/>
            <wp:docPr id="6" name="Рисунок 5" descr="добутаа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утаами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755" cy="1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544679" cy="1381125"/>
            <wp:effectExtent l="19050" t="0" r="0" b="0"/>
            <wp:docPr id="7" name="Рисунок 6" descr="симд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мдак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679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350264" cy="1350264"/>
            <wp:effectExtent l="19050" t="0" r="2286" b="0"/>
            <wp:docPr id="8" name="Рисунок 7" descr="допа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амин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4245F7" w:rsidRPr="004245F7" w:rsidRDefault="004245F7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323975" cy="1323975"/>
            <wp:effectExtent l="19050" t="0" r="9525" b="0"/>
            <wp:docPr id="9" name="Рисунок 8" descr="адрена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ренал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457325" cy="1778701"/>
            <wp:effectExtent l="19050" t="0" r="9525" b="0"/>
            <wp:docPr id="10" name="Рисунок 9" descr="кудес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десан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708" cy="17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96E" w:rsidRDefault="002F596E" w:rsidP="007F22F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4582" w:rsidRDefault="00F14582" w:rsidP="00F1458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вопросы</w:t>
      </w:r>
      <w:r w:rsidR="007F22FC" w:rsidRPr="007F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14582" w:rsidRDefault="00F14582" w:rsidP="00F1458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связан механизм действия сердечных гликозидов?</w:t>
      </w:r>
    </w:p>
    <w:p w:rsidR="00F14582" w:rsidRDefault="00F14582" w:rsidP="00F1458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каких растений получают сердечные гликозиды?</w:t>
      </w:r>
    </w:p>
    <w:p w:rsidR="007F22FC" w:rsidRDefault="00F14582" w:rsidP="00F1458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лекарственные препараты относятся к </w:t>
      </w:r>
      <w:proofErr w:type="spellStart"/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кардиотоническим</w:t>
      </w:r>
      <w:proofErr w:type="spellEnd"/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 </w:t>
      </w:r>
      <w:proofErr w:type="spellStart"/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>негликозидной</w:t>
      </w:r>
      <w:proofErr w:type="spellEnd"/>
      <w:r w:rsidR="007F22FC" w:rsidRPr="00F14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структуры?</w:t>
      </w:r>
    </w:p>
    <w:p w:rsidR="000E091E" w:rsidRDefault="000E091E" w:rsidP="00F1458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CE5FE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СГ не обладают кумуляцией?</w:t>
      </w:r>
    </w:p>
    <w:p w:rsidR="00CE5FE6" w:rsidRPr="00F14582" w:rsidRDefault="00CE5FE6" w:rsidP="00F14582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 какой целью используют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Панангин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Калия хлорид при отравлении СГ?</w:t>
      </w:r>
    </w:p>
    <w:p w:rsidR="00B22ED2" w:rsidRDefault="00B22ED2" w:rsidP="007F22FC">
      <w:pPr>
        <w:ind w:right="-143"/>
      </w:pPr>
    </w:p>
    <w:sectPr w:rsidR="00B22ED2" w:rsidSect="007F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A7E"/>
    <w:multiLevelType w:val="hybridMultilevel"/>
    <w:tmpl w:val="14A43252"/>
    <w:lvl w:ilvl="0" w:tplc="D5EC3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8F4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A48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6ED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083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207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0A1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028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EEA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83B94"/>
    <w:multiLevelType w:val="hybridMultilevel"/>
    <w:tmpl w:val="A90CC692"/>
    <w:lvl w:ilvl="0" w:tplc="7FC63B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45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A92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C19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83A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690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2C1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20D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8AE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76AB0"/>
    <w:multiLevelType w:val="multilevel"/>
    <w:tmpl w:val="5B0EA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F45B9"/>
    <w:multiLevelType w:val="multilevel"/>
    <w:tmpl w:val="33F00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E73D9"/>
    <w:multiLevelType w:val="multilevel"/>
    <w:tmpl w:val="194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B435F"/>
    <w:multiLevelType w:val="multilevel"/>
    <w:tmpl w:val="9CBE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704FA"/>
    <w:multiLevelType w:val="multilevel"/>
    <w:tmpl w:val="36C6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06B26"/>
    <w:multiLevelType w:val="multilevel"/>
    <w:tmpl w:val="DC9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D4696"/>
    <w:multiLevelType w:val="multilevel"/>
    <w:tmpl w:val="3B32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D0C4C"/>
    <w:multiLevelType w:val="multilevel"/>
    <w:tmpl w:val="ECD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33495"/>
    <w:multiLevelType w:val="multilevel"/>
    <w:tmpl w:val="0C6C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054A8"/>
    <w:multiLevelType w:val="multilevel"/>
    <w:tmpl w:val="CE08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342DC"/>
    <w:multiLevelType w:val="multilevel"/>
    <w:tmpl w:val="70A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853E4"/>
    <w:multiLevelType w:val="multilevel"/>
    <w:tmpl w:val="554825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14FFC"/>
    <w:multiLevelType w:val="multilevel"/>
    <w:tmpl w:val="615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3768"/>
    <w:multiLevelType w:val="multilevel"/>
    <w:tmpl w:val="83BA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E0053"/>
    <w:multiLevelType w:val="multilevel"/>
    <w:tmpl w:val="1CC4F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C052E"/>
    <w:multiLevelType w:val="multilevel"/>
    <w:tmpl w:val="BE0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73735"/>
    <w:multiLevelType w:val="hybridMultilevel"/>
    <w:tmpl w:val="43DA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74380"/>
    <w:multiLevelType w:val="multilevel"/>
    <w:tmpl w:val="8F8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53B5F"/>
    <w:multiLevelType w:val="multilevel"/>
    <w:tmpl w:val="C5B2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F2851"/>
    <w:multiLevelType w:val="hybridMultilevel"/>
    <w:tmpl w:val="BA2A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471D5"/>
    <w:multiLevelType w:val="multilevel"/>
    <w:tmpl w:val="7A6E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C2254"/>
    <w:multiLevelType w:val="hybridMultilevel"/>
    <w:tmpl w:val="3B50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70819"/>
    <w:multiLevelType w:val="multilevel"/>
    <w:tmpl w:val="9AB0E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D12FF3"/>
    <w:multiLevelType w:val="multilevel"/>
    <w:tmpl w:val="F91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90B53"/>
    <w:multiLevelType w:val="hybridMultilevel"/>
    <w:tmpl w:val="1E46C11A"/>
    <w:lvl w:ilvl="0" w:tplc="885E29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AE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E4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AC2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03D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A31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C81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A23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4E2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B0001"/>
    <w:multiLevelType w:val="multilevel"/>
    <w:tmpl w:val="B7D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94F9F"/>
    <w:multiLevelType w:val="hybridMultilevel"/>
    <w:tmpl w:val="7FAC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19"/>
  </w:num>
  <w:num w:numId="5">
    <w:abstractNumId w:val="14"/>
  </w:num>
  <w:num w:numId="6">
    <w:abstractNumId w:val="17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4"/>
  </w:num>
  <w:num w:numId="14">
    <w:abstractNumId w:val="16"/>
  </w:num>
  <w:num w:numId="15">
    <w:abstractNumId w:val="10"/>
  </w:num>
  <w:num w:numId="16">
    <w:abstractNumId w:val="13"/>
  </w:num>
  <w:num w:numId="17">
    <w:abstractNumId w:val="20"/>
  </w:num>
  <w:num w:numId="18">
    <w:abstractNumId w:val="24"/>
  </w:num>
  <w:num w:numId="19">
    <w:abstractNumId w:val="22"/>
  </w:num>
  <w:num w:numId="20">
    <w:abstractNumId w:val="7"/>
  </w:num>
  <w:num w:numId="21">
    <w:abstractNumId w:val="11"/>
  </w:num>
  <w:num w:numId="22">
    <w:abstractNumId w:val="27"/>
  </w:num>
  <w:num w:numId="23">
    <w:abstractNumId w:val="1"/>
  </w:num>
  <w:num w:numId="24">
    <w:abstractNumId w:val="23"/>
  </w:num>
  <w:num w:numId="25">
    <w:abstractNumId w:val="21"/>
  </w:num>
  <w:num w:numId="26">
    <w:abstractNumId w:val="28"/>
  </w:num>
  <w:num w:numId="27">
    <w:abstractNumId w:val="26"/>
  </w:num>
  <w:num w:numId="28">
    <w:abstractNumId w:val="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2FC"/>
    <w:rsid w:val="000E091E"/>
    <w:rsid w:val="0015779D"/>
    <w:rsid w:val="002338BB"/>
    <w:rsid w:val="002F596E"/>
    <w:rsid w:val="00325348"/>
    <w:rsid w:val="003B11E2"/>
    <w:rsid w:val="004245F7"/>
    <w:rsid w:val="007635DB"/>
    <w:rsid w:val="007F22FC"/>
    <w:rsid w:val="00993985"/>
    <w:rsid w:val="00A22ED0"/>
    <w:rsid w:val="00B22ED2"/>
    <w:rsid w:val="00B47CE3"/>
    <w:rsid w:val="00CE5FE6"/>
    <w:rsid w:val="00E14684"/>
    <w:rsid w:val="00F1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F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7C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7C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3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5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14</cp:revision>
  <dcterms:created xsi:type="dcterms:W3CDTF">2023-01-07T11:19:00Z</dcterms:created>
  <dcterms:modified xsi:type="dcterms:W3CDTF">2024-01-18T06:28:00Z</dcterms:modified>
</cp:coreProperties>
</file>