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C8" w:rsidRPr="00AE3175" w:rsidRDefault="00762EC8" w:rsidP="00762EC8">
      <w:pPr>
        <w:jc w:val="center"/>
        <w:rPr>
          <w:b/>
        </w:rPr>
      </w:pPr>
      <w:r w:rsidRPr="00AE3175">
        <w:rPr>
          <w:b/>
        </w:rPr>
        <w:t>Регуляция активности ферментов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proofErr w:type="spellStart"/>
      <w:r w:rsidRPr="00AE3175">
        <w:rPr>
          <w:rFonts w:eastAsia="Times New Roman"/>
          <w:snapToGrid w:val="0"/>
          <w:color w:val="auto"/>
          <w:sz w:val="24"/>
          <w:lang w:eastAsia="ru-RU"/>
        </w:rPr>
        <w:t>Аллостерический</w:t>
      </w:r>
      <w:proofErr w:type="spellEnd"/>
      <w:r w:rsidRPr="00AE3175">
        <w:rPr>
          <w:rFonts w:eastAsia="Times New Roman"/>
          <w:snapToGrid w:val="0"/>
          <w:color w:val="auto"/>
          <w:sz w:val="24"/>
          <w:lang w:eastAsia="ru-RU"/>
        </w:rPr>
        <w:t xml:space="preserve"> центр фермента. Механизм </w:t>
      </w:r>
      <w:proofErr w:type="spellStart"/>
      <w:r w:rsidRPr="00AE3175">
        <w:rPr>
          <w:rFonts w:eastAsia="Times New Roman"/>
          <w:snapToGrid w:val="0"/>
          <w:color w:val="auto"/>
          <w:sz w:val="24"/>
          <w:lang w:eastAsia="ru-RU"/>
        </w:rPr>
        <w:t>аллостерического</w:t>
      </w:r>
      <w:proofErr w:type="spellEnd"/>
      <w:r w:rsidRPr="00AE3175">
        <w:rPr>
          <w:rFonts w:eastAsia="Times New Roman"/>
          <w:snapToGrid w:val="0"/>
          <w:color w:val="auto"/>
          <w:sz w:val="24"/>
          <w:lang w:eastAsia="ru-RU"/>
        </w:rPr>
        <w:t xml:space="preserve"> изменения активности фермента. Примеры </w:t>
      </w:r>
      <w:proofErr w:type="spellStart"/>
      <w:r w:rsidRPr="00AE3175">
        <w:rPr>
          <w:rFonts w:eastAsia="Times New Roman"/>
          <w:snapToGrid w:val="0"/>
          <w:color w:val="auto"/>
          <w:sz w:val="24"/>
          <w:lang w:eastAsia="ru-RU"/>
        </w:rPr>
        <w:t>аллостерических</w:t>
      </w:r>
      <w:proofErr w:type="spellEnd"/>
      <w:r w:rsidRPr="00AE3175">
        <w:rPr>
          <w:rFonts w:eastAsia="Times New Roman"/>
          <w:snapToGrid w:val="0"/>
          <w:color w:val="auto"/>
          <w:sz w:val="24"/>
          <w:lang w:eastAsia="ru-RU"/>
        </w:rPr>
        <w:t xml:space="preserve"> </w:t>
      </w:r>
      <w:proofErr w:type="spellStart"/>
      <w:r w:rsidRPr="00AE3175">
        <w:rPr>
          <w:rFonts w:eastAsia="Times New Roman"/>
          <w:snapToGrid w:val="0"/>
          <w:color w:val="auto"/>
          <w:sz w:val="24"/>
          <w:lang w:eastAsia="ru-RU"/>
        </w:rPr>
        <w:t>реуляторов</w:t>
      </w:r>
      <w:proofErr w:type="spellEnd"/>
      <w:r w:rsidRPr="00AE3175">
        <w:rPr>
          <w:rFonts w:eastAsia="Times New Roman"/>
          <w:snapToGrid w:val="0"/>
          <w:color w:val="auto"/>
          <w:sz w:val="24"/>
          <w:lang w:eastAsia="ru-RU"/>
        </w:rPr>
        <w:t>.</w:t>
      </w:r>
    </w:p>
    <w:p w:rsidR="00762EC8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sz w:val="24"/>
        </w:rPr>
        <w:t>Химическая модификация: механизм, примеры модификации.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sz w:val="24"/>
        </w:rPr>
        <w:t xml:space="preserve">Ограниченный </w:t>
      </w:r>
      <w:proofErr w:type="spellStart"/>
      <w:r w:rsidRPr="00AE3175">
        <w:rPr>
          <w:sz w:val="24"/>
        </w:rPr>
        <w:t>протеолиз</w:t>
      </w:r>
      <w:proofErr w:type="spellEnd"/>
      <w:r w:rsidRPr="00AE3175">
        <w:rPr>
          <w:sz w:val="24"/>
        </w:rPr>
        <w:t xml:space="preserve">: механизм, значение, примеры белков, регулируемых </w:t>
      </w:r>
      <w:proofErr w:type="gramStart"/>
      <w:r w:rsidRPr="00AE3175">
        <w:rPr>
          <w:sz w:val="24"/>
        </w:rPr>
        <w:t>ограниченным</w:t>
      </w:r>
      <w:proofErr w:type="gramEnd"/>
      <w:r w:rsidRPr="00AE3175">
        <w:rPr>
          <w:sz w:val="24"/>
        </w:rPr>
        <w:t xml:space="preserve"> </w:t>
      </w:r>
      <w:proofErr w:type="spellStart"/>
      <w:r w:rsidRPr="00AE3175">
        <w:rPr>
          <w:sz w:val="24"/>
        </w:rPr>
        <w:t>протеолизом.</w:t>
      </w:r>
      <w:proofErr w:type="spellEnd"/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sz w:val="24"/>
        </w:rPr>
        <w:t xml:space="preserve">Регуляция </w:t>
      </w:r>
      <w:r w:rsidRPr="00AE3175">
        <w:rPr>
          <w:rFonts w:eastAsia="Times New Roman"/>
          <w:color w:val="auto"/>
          <w:sz w:val="24"/>
          <w:lang w:eastAsia="ru-RU"/>
        </w:rPr>
        <w:t>активности ферментов путем взаимодей</w:t>
      </w:r>
      <w:r w:rsidRPr="00AE3175">
        <w:rPr>
          <w:rFonts w:eastAsia="Times New Roman"/>
          <w:color w:val="auto"/>
          <w:sz w:val="24"/>
          <w:lang w:eastAsia="ru-RU"/>
        </w:rPr>
        <w:softHyphen/>
        <w:t>ствия "белок-белок".</w:t>
      </w:r>
    </w:p>
    <w:p w:rsidR="00762EC8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rFonts w:eastAsia="Times New Roman"/>
          <w:color w:val="auto"/>
          <w:sz w:val="24"/>
          <w:lang w:eastAsia="ru-RU"/>
        </w:rPr>
        <w:t xml:space="preserve">Механизм действия и примеры </w:t>
      </w:r>
      <w:r w:rsidRPr="00AE3175">
        <w:rPr>
          <w:rFonts w:eastAsia="Times New Roman"/>
          <w:snapToGrid w:val="0"/>
          <w:color w:val="auto"/>
          <w:sz w:val="24"/>
          <w:lang w:eastAsia="ru-RU"/>
        </w:rPr>
        <w:t xml:space="preserve"> необратимых ингибиторов. Имеют ли они физиологическое значение?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rFonts w:eastAsia="Times New Roman"/>
          <w:snapToGrid w:val="0"/>
          <w:color w:val="auto"/>
          <w:sz w:val="24"/>
          <w:lang w:eastAsia="ru-RU"/>
        </w:rPr>
        <w:t>Механизм действия неконкурентных ингибиторов, примеры.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rFonts w:eastAsia="Times New Roman"/>
          <w:snapToGrid w:val="0"/>
          <w:color w:val="auto"/>
          <w:sz w:val="24"/>
          <w:lang w:eastAsia="ru-RU"/>
        </w:rPr>
        <w:t>Механизм действия конкурентных ингибиторов, примеры.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</w:rPr>
      </w:pPr>
      <w:r w:rsidRPr="00AE3175">
        <w:rPr>
          <w:sz w:val="24"/>
        </w:rPr>
        <w:t>Ферментативные цепи и их регуляция.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proofErr w:type="spellStart"/>
      <w:r w:rsidRPr="00AE3175">
        <w:rPr>
          <w:sz w:val="24"/>
          <w:szCs w:val="24"/>
        </w:rPr>
        <w:t>Энзимопатологии</w:t>
      </w:r>
      <w:proofErr w:type="spellEnd"/>
      <w:r w:rsidRPr="00AE3175">
        <w:rPr>
          <w:sz w:val="24"/>
          <w:szCs w:val="24"/>
        </w:rPr>
        <w:t>, примеры.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proofErr w:type="spellStart"/>
      <w:r w:rsidRPr="00AE3175">
        <w:rPr>
          <w:sz w:val="24"/>
          <w:szCs w:val="24"/>
        </w:rPr>
        <w:t>Энзимодиагностика</w:t>
      </w:r>
      <w:proofErr w:type="spellEnd"/>
      <w:r w:rsidRPr="00AE3175">
        <w:rPr>
          <w:sz w:val="24"/>
          <w:szCs w:val="24"/>
        </w:rPr>
        <w:t>, примеры использования ферментов в диагностике.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r w:rsidRPr="00AE3175">
        <w:rPr>
          <w:sz w:val="24"/>
          <w:szCs w:val="24"/>
        </w:rPr>
        <w:t>Примеры использования ферментов и их ингибиторов для лечения.</w:t>
      </w:r>
    </w:p>
    <w:p w:rsidR="00FB3047" w:rsidRPr="00AE3175" w:rsidRDefault="00FB3047" w:rsidP="00AE3175">
      <w:pPr>
        <w:pStyle w:val="a5"/>
        <w:numPr>
          <w:ilvl w:val="0"/>
          <w:numId w:val="1"/>
        </w:numPr>
        <w:tabs>
          <w:tab w:val="left" w:pos="10347"/>
        </w:tabs>
        <w:ind w:right="-1"/>
        <w:jc w:val="both"/>
        <w:rPr>
          <w:sz w:val="24"/>
          <w:szCs w:val="24"/>
        </w:rPr>
      </w:pPr>
      <w:r w:rsidRPr="00AE3175">
        <w:rPr>
          <w:sz w:val="24"/>
          <w:szCs w:val="24"/>
        </w:rPr>
        <w:t xml:space="preserve"> Определите, какие классы ферментов катализируют следующие реакции:</w:t>
      </w:r>
    </w:p>
    <w:p w:rsidR="00762EC8" w:rsidRPr="00AE3175" w:rsidRDefault="004F3351" w:rsidP="00FB3047">
      <w:pPr>
        <w:ind w:left="567"/>
        <w:rPr>
          <w:sz w:val="24"/>
          <w:szCs w:val="24"/>
        </w:rPr>
      </w:pPr>
      <w:r w:rsidRPr="00AE3175">
        <w:rPr>
          <w:sz w:val="24"/>
          <w:szCs w:val="24"/>
        </w:rPr>
        <w:drawing>
          <wp:inline distT="0" distB="0" distL="0" distR="0">
            <wp:extent cx="4694247" cy="3800475"/>
            <wp:effectExtent l="19050" t="0" r="0" b="0"/>
            <wp:docPr id="2" name="Рисунок 1" descr="Ферменты-0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менты-0-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47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C8" w:rsidRPr="00AE3175" w:rsidRDefault="00AE3175" w:rsidP="00AE3175">
      <w:pPr>
        <w:pStyle w:val="a5"/>
        <w:numPr>
          <w:ilvl w:val="0"/>
          <w:numId w:val="1"/>
        </w:numPr>
        <w:ind w:left="0" w:firstLine="993"/>
      </w:pPr>
      <w:r w:rsidRPr="00AE3175">
        <w:rPr>
          <w:sz w:val="24"/>
          <w:szCs w:val="24"/>
        </w:rPr>
        <w:t>Определите</w:t>
      </w:r>
      <w:r w:rsidRPr="00AE3175">
        <w:rPr>
          <w:sz w:val="24"/>
        </w:rPr>
        <w:t xml:space="preserve">, </w:t>
      </w:r>
      <w:proofErr w:type="gramStart"/>
      <w:r w:rsidRPr="00AE3175">
        <w:rPr>
          <w:sz w:val="24"/>
        </w:rPr>
        <w:t>действие</w:t>
      </w:r>
      <w:proofErr w:type="gramEnd"/>
      <w:r w:rsidRPr="00AE3175">
        <w:rPr>
          <w:sz w:val="24"/>
        </w:rPr>
        <w:t xml:space="preserve"> каких ингибиторов изображено на графиках</w:t>
      </w:r>
      <w:r>
        <w:rPr>
          <w:sz w:val="24"/>
        </w:rPr>
        <w:t>:</w:t>
      </w:r>
      <w:r w:rsidR="00762EC8" w:rsidRPr="00762EC8">
        <w:drawing>
          <wp:inline distT="0" distB="0" distL="0" distR="0">
            <wp:extent cx="3152775" cy="2845186"/>
            <wp:effectExtent l="19050" t="0" r="9525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12" cy="285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EC8" w:rsidRPr="00762EC8">
        <w:drawing>
          <wp:inline distT="0" distB="0" distL="0" distR="0">
            <wp:extent cx="2638425" cy="2456190"/>
            <wp:effectExtent l="19050" t="0" r="9525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92" cy="24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EC8" w:rsidRPr="00AE3175" w:rsidSect="00AE3175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49F6"/>
    <w:multiLevelType w:val="hybridMultilevel"/>
    <w:tmpl w:val="53FEC1FA"/>
    <w:lvl w:ilvl="0" w:tplc="24623EB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C8"/>
    <w:rsid w:val="003D1366"/>
    <w:rsid w:val="004F3351"/>
    <w:rsid w:val="005B03D3"/>
    <w:rsid w:val="00762EC8"/>
    <w:rsid w:val="00AE3175"/>
    <w:rsid w:val="00DC0E69"/>
    <w:rsid w:val="00FB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2020-10-08T06:33:00Z</dcterms:created>
  <dcterms:modified xsi:type="dcterms:W3CDTF">2020-10-08T07:16:00Z</dcterms:modified>
</cp:coreProperties>
</file>