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43" w:rsidRPr="00F661BC" w:rsidRDefault="001C7643" w:rsidP="001C7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В.Ф.Войно-Ясенецкого</w:t>
      </w:r>
      <w:proofErr w:type="spellEnd"/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Министерства здравоохранения Российской Федерации </w:t>
      </w:r>
    </w:p>
    <w:p w:rsidR="001C7643" w:rsidRPr="00F661BC" w:rsidRDefault="001C7643" w:rsidP="001C7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Кафедра терапии ИПО</w:t>
      </w:r>
    </w:p>
    <w:p w:rsidR="001C7643" w:rsidRPr="00F661BC" w:rsidRDefault="001C7643" w:rsidP="001C76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</w:t>
      </w:r>
    </w:p>
    <w:p w:rsidR="001C7643" w:rsidRPr="00F661BC" w:rsidRDefault="001C7643" w:rsidP="001C76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F6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Кафедрой, ДМН, профессор</w:t>
      </w: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Гринштейн</w:t>
      </w:r>
      <w:proofErr w:type="spellEnd"/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Исаевич</w:t>
      </w:r>
    </w:p>
    <w:p w:rsidR="001C7643" w:rsidRPr="00F661BC" w:rsidRDefault="001C7643" w:rsidP="001C7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Руководитель ординатуры ДМН, профессор</w:t>
      </w:r>
    </w:p>
    <w:p w:rsidR="001C7643" w:rsidRPr="00F661BC" w:rsidRDefault="001C7643" w:rsidP="001C7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Грищенко Елена Георгиевна</w:t>
      </w: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43" w:rsidRPr="00F661BC" w:rsidRDefault="001C7643" w:rsidP="001C764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43" w:rsidRPr="00F661BC" w:rsidRDefault="001C7643" w:rsidP="001C764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43" w:rsidRPr="00F661BC" w:rsidRDefault="001C7643" w:rsidP="001C764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61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Реферат</w:t>
      </w: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C7643" w:rsidRPr="00420AEA" w:rsidRDefault="001C7643" w:rsidP="001C76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Инфекционный эндокардит.</w:t>
      </w: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643" w:rsidRDefault="001C7643" w:rsidP="001C764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43" w:rsidRDefault="001C7643" w:rsidP="001C764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43" w:rsidRPr="00F661BC" w:rsidRDefault="001C7643" w:rsidP="001C764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Здзярская Олеся Леонидовна </w:t>
      </w: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Ординатор 2-го года обучения специальности Терапия</w:t>
      </w:r>
    </w:p>
    <w:p w:rsidR="001C7643" w:rsidRPr="00F661BC" w:rsidRDefault="001C7643" w:rsidP="001C764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43" w:rsidRPr="00F661BC" w:rsidRDefault="001C7643" w:rsidP="001C7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643" w:rsidRDefault="001C7643" w:rsidP="001C7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643" w:rsidRPr="00F661BC" w:rsidRDefault="001C7643" w:rsidP="001C7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643" w:rsidRPr="00F661BC" w:rsidRDefault="001C7643" w:rsidP="001C7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643" w:rsidRPr="00F661BC" w:rsidRDefault="001C7643" w:rsidP="001C7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643" w:rsidRPr="00F661BC" w:rsidRDefault="001C7643" w:rsidP="001C7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2022</w:t>
      </w: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Содержание</w:t>
      </w:r>
    </w:p>
    <w:p w:rsidR="001C7643" w:rsidRPr="001C7643" w:rsidRDefault="001C7643" w:rsidP="001C7643">
      <w:pPr>
        <w:pStyle w:val="a8"/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Этиология и патогенез</w:t>
      </w:r>
    </w:p>
    <w:p w:rsidR="001C7643" w:rsidRPr="001C7643" w:rsidRDefault="001C7643" w:rsidP="001C7643">
      <w:pPr>
        <w:pStyle w:val="a8"/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Эпидемиология</w:t>
      </w:r>
    </w:p>
    <w:p w:rsidR="001C7643" w:rsidRPr="001C7643" w:rsidRDefault="001C7643" w:rsidP="001C7643">
      <w:pPr>
        <w:pStyle w:val="a8"/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Классификация</w:t>
      </w:r>
    </w:p>
    <w:p w:rsidR="001C7643" w:rsidRPr="001C7643" w:rsidRDefault="001C7643" w:rsidP="001C7643">
      <w:pPr>
        <w:pStyle w:val="a8"/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Клиническая картина</w:t>
      </w:r>
    </w:p>
    <w:p w:rsidR="001C7643" w:rsidRPr="001C7643" w:rsidRDefault="001C7643" w:rsidP="001C7643">
      <w:pPr>
        <w:pStyle w:val="a8"/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Диагностика</w:t>
      </w:r>
    </w:p>
    <w:p w:rsidR="001C7643" w:rsidRPr="001C7643" w:rsidRDefault="001C7643" w:rsidP="001C7643">
      <w:pPr>
        <w:pStyle w:val="a8"/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Лечение</w:t>
      </w:r>
    </w:p>
    <w:p w:rsidR="001C7643" w:rsidRPr="001C7643" w:rsidRDefault="001C7643" w:rsidP="001C7643">
      <w:pPr>
        <w:pStyle w:val="a8"/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Реабилитация </w:t>
      </w:r>
    </w:p>
    <w:p w:rsidR="001C7643" w:rsidRPr="001C7643" w:rsidRDefault="001C7643" w:rsidP="001C7643">
      <w:pPr>
        <w:pStyle w:val="a8"/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Профилактика</w:t>
      </w:r>
    </w:p>
    <w:p w:rsidR="001C7643" w:rsidRPr="001C7643" w:rsidRDefault="001C7643" w:rsidP="001C7643">
      <w:pPr>
        <w:pStyle w:val="a8"/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Список литературы</w:t>
      </w: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C7643" w:rsidRDefault="001C7643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Инфекционный эндокардит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тяжелое воспалительное заболевание эндокарда, преимущественно с поражением клапанов сердца. Реже поражаются другие места: дефекты перегородок, хорды, стенки предсердий или желудочков.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Этиология и патогенез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Степень вероятности возникновения септического эндокардита у лиц, пользующихся нестерильными шприцами (при наркомании) в 30 раз выше. Летальность при инфекционном эндокардите остается на высоком уровне - 24–30% , а у лиц пожилого возраста – более 40%.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большинстве случаев причиной инфекционного эндокардита (ИЭ) у взрослых являются: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Streptococcus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viridans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S.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aureus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Streptococcus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bovis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Enterococci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редко встречающиеся бактерии из группы HACEK (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Haemophilus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Actinobacillus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Cardiobacterium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Eikenella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Kingella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(3%). Инфицирование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нативных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клапанов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эпидермальным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стафилококком, кишечными палочками и грибами встречается крайне редко.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Среди редко встречающихся возбудителей ИЭ описаны сальмонеллы,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дифтероиды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гемофилюс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листерия,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эйкенелла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Эризипелотрикс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иногда может стать причиной эндокардита. Этот микроб обитает в глотке домашних животных, в слизи и чешуе рыб, у птиц и грызунов, и поэтому эта инфекция чаще встречается у мясников, рыбаков и лиц, имеющих контакт с животными.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 лиц употребляющих внутривенно наркотики, причиной ИЭ чаще всего становятся микроорганизмы, населяющие кожу, это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S.aureus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(50-60%). Стрептококки и энтерококки встречаются значительно реже, примерно в 20% случаев, грамотрицательные палочки, особенно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Pseudomonas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Serratia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spp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– 10-15% случае, но, вместе с тем,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Pseudomonas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aeruginosa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вызывает тяжелую деструкцию клапана и весьма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устойчива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антибиотикотерапии. Единственным методом успешного лечения такого эндокардита остается хирургическая коррекция.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Примерно в 5% случаев причиной ИЭ становятся грибы. Наиболее часто эндокардит вызывают грибы рода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Candida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Aspergillus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Histoplasma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реже –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Blastomyces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Coccidioides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Cryptococcus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Mucor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Phodotorula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др. Нередко у этой категории пациентов одновременно на клапане встречается рост и грибов и бактерий.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Протезный эндокардит (ПЭ) составляет 10 - 20% от всех случаев заболевания ИЭ. Риск заболевания значительно выше в первые шесть месяцев после имплантации протеза, но обнаружение госпитальной флоры в крови и на удаленных протезах в течение года, переместили сроки раннего ПЭ д</w:t>
      </w:r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12 месяцев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Причиной раннего протезного эндокардита становится инфицирование во время операции или в раннем послеоперационном периоде через катетеры (в основном центральные) инфекционными агентами. Наиболее часто становятся стафилококки: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S.epidermidis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(25- 30%), S.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aureus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(20-25%). Грамотрицател</w:t>
      </w:r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ьные бактерии встречаются реже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Поздний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ПЭ возникает на фоне транзиторной бактериемии, возникающей при стоматологических, гинекологических, урологических 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гастоэнтерологических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вмешательствах, поэтому патогенная флора обычно характерна для ИЭ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нативных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клапанов. Чаще встречаются стрептококки (S.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viridans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25-35%),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коагулазонегатиный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стафилоко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кк встр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ечается менее чем у 20% пациентов. В 10-15% случаев заболевания протезным эндокардитом причиной становятся</w:t>
      </w:r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грибы (</w:t>
      </w:r>
      <w:proofErr w:type="spellStart"/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Candida</w:t>
      </w:r>
      <w:proofErr w:type="spellEnd"/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</w:t>
      </w:r>
      <w:proofErr w:type="spellStart"/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Aspergillus</w:t>
      </w:r>
      <w:proofErr w:type="spellEnd"/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Необходимо отметить, что, грибковый протезный эндокардит значительно труднее поддается лечению и чаще становится причиной летального исхода, чем вызванный бактериальной флорой.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В патогенезе ИЭ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играют роль несколько факторов. Прежде всего, это инфекционный агент – микроорганизм и измененный эндотелий клапана, важную роль играют иммунитет и адаптация. Возникновению ИЭ могут способствовать различные эндогенные и экзогенные факторы, изменяющие реактивность организма, восприимчивость и устойчивость к инфекции (операции, беременность, аборт, роды, резкое изменение условий труда и быта, переутомление</w:t>
      </w:r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перенесенные болезни и т.д.)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Первым этапом в развитии инфекционного эндокардита является прикрепление бактерий к поврежденной поверхности эндокарда клапана. Бактерии начинают активно 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делиться, присутствие бактерий стимулирует процесс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тромбообразования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колонии бактерий чередуются со слоями фибрина. Таким образом, появляются вегетации, которые достаточно быстро увеличиваются в размерах. Вегетации размерами более 1 см становятся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значительно подвижными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могут приводить к тромбоэмболиям в различные участки артериального кровотока (при эндокардите левых камер сердца). Наиболее часто это сосуды головного мозга, почки, селезенка, артерии конечностей. При ИЭ правых камер, соответственно, вегетации попадают в артерии малого круга кровообращения, вызывая развитие инфарктных пневмоний. При наличии дефектов МЖП вегетации со створок митрального клапана также могут явиться причиной тромб</w:t>
      </w:r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оэмболии легочной артерии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месте прикрепления вегетаций воспалительная реакция может быть выражена, вплоть до образования абсцесса и полного разрушения створки клапана. Формирование абсцессов - серьезное осложнение эндокардита, абсцессы могут распространяться на фиброзное кольцо и далее вглубь миокарда. Абсцессы фиброзного кольца аортального клапана 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парааортального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пространства могут распространяться на проводящие пути и вызывать </w:t>
      </w:r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нарушения ритма и проводимости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Абсцессы фиброзного кольца при протезном эндокардите приводят к образованию фистул, при распространении процесса вплоть до отрыва протеза.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Вегетации чаще всего располагаются в местах с наиболее высоким давлением – это предсердная поверхность створок митрального клапана и желудочковая поверхнос</w:t>
      </w:r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ть створок аортального клапана.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Эпидемиология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Заболеваемость ИЭ регистрируется во всех странах мира и в Российской Федерации составляет более 10000 человек в год, из которых около 2500 нуждаются в хирургическом вмешательстве. Мужчины заболевают в 1.5-3 раза чаще, чем женщины. Чаще заболевают лица трудоспособного возраста (20 – 50 лет) , 25% всех случаев фиксируется в возрастной группе от 60 лет и старше. Частота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первич</w:t>
      </w:r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ного</w:t>
      </w:r>
      <w:proofErr w:type="gramEnd"/>
      <w:r w:rsidR="00847E59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ИЭ составляет 41,1- 69,7%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Классификация</w:t>
      </w:r>
    </w:p>
    <w:p w:rsidR="0034366C" w:rsidRPr="001C7643" w:rsidRDefault="0034366C" w:rsidP="001C7643">
      <w:pPr>
        <w:numPr>
          <w:ilvl w:val="0"/>
          <w:numId w:val="1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анатомическому субстрату: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Первичный</w:t>
      </w:r>
      <w:proofErr w:type="gramEnd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ИЭ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– поражение ранее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интактных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клапанов сердца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Вторичный</w:t>
      </w:r>
      <w:proofErr w:type="gramEnd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ИЭ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поражение клапанов сердца на фоне врожденных и приобретенных изменений клапанов сердца, перегородок сердца и магистральных сосудов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Протезный инфекционный эндокардит (ПЭ)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поражение инфекцией ранее имплантированных искусственных механических и биологических клапанов сердца. К этой категории следует отнести пациентов, перенесших реконструкцию клапанов сердца с использованием синтетических и биологических имплантатов.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Ранний протезный эндокардит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ПЭ, возникший в течение 12 месяцев после операции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Поздний протезный эндокардит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ПЭ, возникший после 12 месяцев после операции</w:t>
      </w:r>
    </w:p>
    <w:p w:rsidR="0034366C" w:rsidRPr="001C7643" w:rsidRDefault="0034366C" w:rsidP="001C7643">
      <w:pPr>
        <w:numPr>
          <w:ilvl w:val="0"/>
          <w:numId w:val="1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клиническим проявлениям и гистологии удаленного материала: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Активный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имеются клинические симптомы, лабораторные признаки, морфологические признаки воспаления ткани клапанов сердца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Неактивный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- отсутствуют клинические, лабораторные и морфологические признаки воспаления</w:t>
      </w:r>
    </w:p>
    <w:p w:rsidR="0034366C" w:rsidRPr="001C7643" w:rsidRDefault="0034366C" w:rsidP="001C7643">
      <w:pPr>
        <w:numPr>
          <w:ilvl w:val="0"/>
          <w:numId w:val="1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течению: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Острый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до 8 недель от начала заболевания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Подострый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более 8 недель от начала заболевания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Ремиссия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– может возникать при проведении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массивной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антибиотикотерапии.</w:t>
      </w:r>
    </w:p>
    <w:p w:rsidR="0034366C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Рецидив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– повторные эпизоды ИЭ, вызванные одним и тем же микроорганизмом, возникший через 6 </w:t>
      </w:r>
      <w:r w:rsid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месяцев после начального эпизода</w:t>
      </w:r>
    </w:p>
    <w:p w:rsidR="001C7643" w:rsidRDefault="001C7643" w:rsidP="001C7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C7643" w:rsidRPr="001C7643" w:rsidRDefault="001C7643" w:rsidP="001C76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4366C" w:rsidRPr="001C7643" w:rsidRDefault="0034366C" w:rsidP="001C7643">
      <w:pPr>
        <w:numPr>
          <w:ilvl w:val="0"/>
          <w:numId w:val="1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По наличию осложнений: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Интракардиальные осложнения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внутрисердечный абсцесс, внутрисердечные патологические шунты, эмболический инфаркт миокарда и др.</w:t>
      </w:r>
    </w:p>
    <w:p w:rsidR="0034366C" w:rsidRPr="001C7643" w:rsidRDefault="0034366C" w:rsidP="001C7643">
      <w:pPr>
        <w:numPr>
          <w:ilvl w:val="1"/>
          <w:numId w:val="1"/>
        </w:num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Экстракардиальные осложнения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– системные эмболии, нарушение мозгового кровообращения по ишемическому, геморрагическому, смешанному типу,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микотические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аневризмы периферических сосудов, абсцесс паренхиматозных органов, инфарктная пневмония</w:t>
      </w:r>
    </w:p>
    <w:p w:rsidR="0034366C" w:rsidRPr="001C7643" w:rsidRDefault="0034366C" w:rsidP="001C7643">
      <w:pPr>
        <w:numPr>
          <w:ilvl w:val="0"/>
          <w:numId w:val="1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Гистологическая классификация активности инфекционного эндокардита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 стадия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начальная, характеризуемая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макроскопически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некоторым утолщением и отеком клапанов 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гистологически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мукоидным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набуханием межуточной субстанции эндокарда,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нерезко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выраженной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лимфоклеточной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инфильтрацией с пролиферацией фибробластов, умеренным очаговым склерозом;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 стадия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бородавчатых изменений, характеризуемая наличием бородавок по линии смыкания клапанов или на пристеночном эндокарде. В зависимости от времени их образования бородавки могут быть нежными, рыхлыми или плотными, трудно снимающимися с поверхности клапана или пристеночного эндокарда.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Гистологически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 этом определяются изменения в соединительной ткани по типу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фибриноидных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превращений, отек 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разволокнение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соединительнотканной стромы сердца,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периваскулярные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кровоизлияния, очаговый межуточный миокардит.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 стадия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бородавчато-полипозных изменений с изъязвлением и наличием бактерий на клапанах.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Макроскопически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пристеночном эндокарде и клапанах определяются полипозно-бородавчатые образования с характерной гистологической картиной септического эндокардита, с наличием язв и гноеродных бактерий на клапанах (гнойное расплавление клапана). Очаг поражения не является строго локализованным на клапанах. В патологический процесс вовлекаются все оболочки сердца (перикард, миокард, эндокард), а также сосуды, фиброзные кольца клапанов, сосочковые мышцы. В миокарде можно отметить выраженный отек стромы,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лимфоклеточную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инфильтрацию, жировую и белковую дегенерацию, расширение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синусоидных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сосудов со стазом. Как правило, наблюдаются старые и свежие участки дезорганизации 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соединительной ткани, что свидетельствует о непрерывности патоморфологического процесса.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Сравнение морфологических изменений клапанов и пристеночного эндокарда показывает, что эти изменения можно рассматривать как последовательные звенья одного и того же процесса, воспалительной деструкции соединительной ткани.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Клиническая картина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Ранние клинические проявления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нарушение сознания, снижение АД (депонирование в венозном русле крови, снижение ОЦК, уменьшение сердечного выброса, увеличение периферического сопротивления), рвота, диарея.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Признаки хронической интоксикации</w:t>
      </w:r>
    </w:p>
    <w:p w:rsidR="0034366C" w:rsidRPr="001C7643" w:rsidRDefault="0034366C" w:rsidP="001C7643">
      <w:pPr>
        <w:numPr>
          <w:ilvl w:val="0"/>
          <w:numId w:val="2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Бледность кожных покровов с серовато-желтым оттенком (цвет «кофе с молоком»):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Бледность кожи объясняется, в основном, характерной для инфекционного эндокардита анемией, а желтушный оттенок кожи — вовлечением в патологический процесс печени и гемолизом эритроцитов.</w:t>
      </w:r>
    </w:p>
    <w:p w:rsidR="0034366C" w:rsidRPr="001C7643" w:rsidRDefault="0034366C" w:rsidP="001C7643">
      <w:pPr>
        <w:numPr>
          <w:ilvl w:val="0"/>
          <w:numId w:val="2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Похудание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весьма характерно для больных инфекционным эндокардитом. Иногда оно развивается очень быстро, в течение нескольких недель.</w:t>
      </w:r>
    </w:p>
    <w:p w:rsidR="0034366C" w:rsidRPr="001C7643" w:rsidRDefault="0034366C" w:rsidP="001C7643">
      <w:pPr>
        <w:numPr>
          <w:ilvl w:val="0"/>
          <w:numId w:val="2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Изменения концевых фаланг пальцев в виде «барабанных палочек» и ногтей по типу «часовых стекол», выявляющиеся иногда при сравнительно длительном течении заболевания (около 2–3 мес.). При подостром эндокардите фаланги пальцев и ногти приобретают вид «барабанных палочек» и «часовых стекол».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Периферические симптомы, обусловленные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васкулитом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или эмболией</w:t>
      </w:r>
    </w:p>
    <w:p w:rsidR="0034366C" w:rsidRPr="001C7643" w:rsidRDefault="0034366C" w:rsidP="001C7643">
      <w:pPr>
        <w:numPr>
          <w:ilvl w:val="0"/>
          <w:numId w:val="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Петехии на </w:t>
      </w:r>
      <w:proofErr w:type="spell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конъюктиве</w:t>
      </w:r>
      <w:proofErr w:type="spellEnd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, слизистой рта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– на коже могут появляться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петехиальные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геморрагические высыпания. Они имеют небольшие размеры, не бледнеют при надавливании, безболезненны при пальпации. Нередко петехии локализуются на передней верхней поверхности грудной клетки, на ногах. Со временем петехии приобретают коричневый оттенок и исчезают. Иногда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петехиальные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геморрагии локализуются на переходной складке конъюнктивы нижнего века — пятна Лукина 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или на слизистых оболочках полости рта. В центре мелких кровоизлияний 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коньюнктиву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слизистые оболочки имеется характерная зона побледнения. ·</w:t>
      </w:r>
    </w:p>
    <w:p w:rsidR="0034366C" w:rsidRPr="001C7643" w:rsidRDefault="0034366C" w:rsidP="001C7643">
      <w:pPr>
        <w:numPr>
          <w:ilvl w:val="0"/>
          <w:numId w:val="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Пятна Рота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— аналогичные пятнам Лукина мелкие кровоизлияния в сетчатку глаза, в центре также имеющие зону побледнения, которые выявляются при специальном исследовании глазного дна;</w:t>
      </w:r>
    </w:p>
    <w:p w:rsidR="0034366C" w:rsidRPr="001C7643" w:rsidRDefault="0034366C" w:rsidP="001C7643">
      <w:pPr>
        <w:numPr>
          <w:ilvl w:val="0"/>
          <w:numId w:val="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Пятна </w:t>
      </w:r>
      <w:proofErr w:type="spell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Джейнуэя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безболезненные геморрагические пятна диаметром 1-4 мм на ладонях и стопах, при гистологическом исследовании обнаруживают некротические изменения в капиллярах и артериолах с кровоизлияниями и клеточной инфильтрацией сосудистой стенки и окружающих тканей</w:t>
      </w:r>
    </w:p>
    <w:p w:rsidR="0034366C" w:rsidRPr="001C7643" w:rsidRDefault="0034366C" w:rsidP="001C7643">
      <w:pPr>
        <w:numPr>
          <w:ilvl w:val="0"/>
          <w:numId w:val="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Линейные геморрагии под ногтями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линейные кровоизлияния в виде темно- красных полос у основания ногтей;</w:t>
      </w:r>
    </w:p>
    <w:p w:rsidR="0034366C" w:rsidRPr="001C7643" w:rsidRDefault="0034366C" w:rsidP="001C7643">
      <w:pPr>
        <w:numPr>
          <w:ilvl w:val="0"/>
          <w:numId w:val="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Узелки </w:t>
      </w:r>
      <w:proofErr w:type="spell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Ослера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— болезненные при пальпации красноватые напряженные образования размером с горошину, располагающиеся в коже и подкожной клетчатке на ладонях, пальцах, подошвах и сохраняющиеся от нескольких часов до нескольких дней,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гистологически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характеризуются пролиферацией эндотелия артериол с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периваскулярной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клеточной инфильтрацией. Узелки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Ослера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представляют собой небольшие воспалительные инфильтраты, обусловленные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тромбоваскулитом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или эмболией в мелкие сосуды. Появившись в коже или подкожной клетчатке, они достаточно быстро исчезают;</w:t>
      </w:r>
    </w:p>
    <w:p w:rsidR="0034366C" w:rsidRPr="001C7643" w:rsidRDefault="0034366C" w:rsidP="001C7643">
      <w:pPr>
        <w:numPr>
          <w:ilvl w:val="0"/>
          <w:numId w:val="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Положительная проба Румпеля–</w:t>
      </w:r>
      <w:proofErr w:type="spell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Лееде</w:t>
      </w:r>
      <w:proofErr w:type="spellEnd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–</w:t>
      </w:r>
      <w:proofErr w:type="spell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Кончаловского</w:t>
      </w:r>
      <w:proofErr w:type="spellEnd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,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которая свидетельствует о повышенной ломкости микрососудов, что нередко может быть связано с вторичным повреждением сосудистой стенки при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васкулитах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и/или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тромбоцитопатии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(снижении функции кровяных пластинок). </w:t>
      </w: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Проба проводится следующим образом: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манжета для измерения АД накладывается на плечо, в ней создается постоянное давление, равное 100 мм рт. ст. Через 5 минут оценивают результаты пробы. При отсутствии нарушений сосудисто-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тромбоцитарного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гемостаза ниже манжеты появляется лишь небольшое количество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петехиальных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(мелкоточечных) кровоизлияний (менее 10 петехий в зоне, ограниченной окружностью диаметром 5 см). При повышении проницаемости сосудов или тромбоцитопении число петехий в этой зоне превышает 10 (положительная проба). 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Следует помнить, что все эти периферические симптомы инфекционного эндокардита в последние годы выявляются достаточно редко.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Признаки сердечной недостаточности, развивающейся вследствие формирования аортальной, митральной или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трикуспидальной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недостаточности и миокардита:</w:t>
      </w:r>
    </w:p>
    <w:p w:rsidR="0034366C" w:rsidRPr="001C7643" w:rsidRDefault="0034366C" w:rsidP="001C7643">
      <w:pPr>
        <w:numPr>
          <w:ilvl w:val="0"/>
          <w:numId w:val="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ортопноэ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34366C" w:rsidRPr="001C7643" w:rsidRDefault="0034366C" w:rsidP="001C7643">
      <w:pPr>
        <w:numPr>
          <w:ilvl w:val="0"/>
          <w:numId w:val="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цианоз;</w:t>
      </w:r>
    </w:p>
    <w:p w:rsidR="0034366C" w:rsidRPr="001C7643" w:rsidRDefault="0034366C" w:rsidP="001C7643">
      <w:pPr>
        <w:numPr>
          <w:ilvl w:val="0"/>
          <w:numId w:val="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влажные застойные хрипы в легких;</w:t>
      </w:r>
    </w:p>
    <w:p w:rsidR="0034366C" w:rsidRPr="001C7643" w:rsidRDefault="0034366C" w:rsidP="001C7643">
      <w:pPr>
        <w:numPr>
          <w:ilvl w:val="0"/>
          <w:numId w:val="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отеки на ногах;</w:t>
      </w:r>
    </w:p>
    <w:p w:rsidR="0034366C" w:rsidRPr="001C7643" w:rsidRDefault="0034366C" w:rsidP="001C7643">
      <w:pPr>
        <w:numPr>
          <w:ilvl w:val="0"/>
          <w:numId w:val="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набухание шейных вен;</w:t>
      </w:r>
    </w:p>
    <w:p w:rsidR="0034366C" w:rsidRPr="001C7643" w:rsidRDefault="0034366C" w:rsidP="001C7643">
      <w:pPr>
        <w:numPr>
          <w:ilvl w:val="0"/>
          <w:numId w:val="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гепатомегалия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др.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Сердечная недостаточность чаще возникает при поражен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ии ао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ртального клапана или/и митрального, чем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трикуспидального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значительно ухудшает прогноз.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Другие проявления болезни, обусловленные иммунным поражением внутренних органов, тромбоэмболиями, а также развитием септических очагов во внутренних органах, например: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неврологические осложнения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(инфаркта мозга, развивающегося вследствие тромбоэмболии мозговых сосудов, внутримозговых гематом, абсцесса мозга, менингита и т.п.) – развиваются у 40-50% пациентов: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головная боль;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нарушения сознания,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параличи,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парезы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другие общемозговые и очаговые неврологические симптомы вызванные эмболией церебральных артерий или кровоизлиянием вследствие разрыва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микотической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аневризмы);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менингит (триада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Ослера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). Так называемая Триада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Ослера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(австрийская триада) включает эндокардит (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Streptococcus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pneumoniae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), пневмонию и менингит, обнаруживается у 1-3% пациентов, чаще у алкоголиков, пожилых людей и пациентов, страдающих сахарным диабетом. Протекает молниеносно с разрушением створок клапана (чаще аортального) и формированием абсцессов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параклапанного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пространства.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proofErr w:type="gramEnd"/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ромбоэмболии легочной артерии (ТЭЛА),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нередко выявляющиеся при поражении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трикуспидального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клапана (особенно часто у наркоманов). При эндокардите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трикуспидального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клапана - эмболия легочной артерии (встречается часто, примерно у 75% пациентов) с развитием инфарктной пневмонии и эпизодами кровохарканья: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одышка;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удушье;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боль за грудиной;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цианоз и др.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тромбоэмболия и септическое поражение селезенки: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спленомегалия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болезненность в левом подреберье.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почечная недостаточность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 развивается примерно у 5% пациентов: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острый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гломерулонефрит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эмболии почечных артерий;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токсическое действие антибиотиков;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низкий сердечный выброс.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объективные признаки острого асимметричного артрита мелких суставов кистей рук, стоп.</w:t>
      </w:r>
    </w:p>
    <w:p w:rsidR="0034366C" w:rsidRPr="001C7643" w:rsidRDefault="0034366C" w:rsidP="001C7643">
      <w:pPr>
        <w:numPr>
          <w:ilvl w:val="0"/>
          <w:numId w:val="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эмболический синдром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встречается более чем у 35% пациентов: сосуды головного мозга, периферические сосуды, инфаркт миокарда, инфаркт селезенки, почек и т.д. Образование септических аневризм, абсцессов.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Септический шок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– значительно осложняет течение. Сохраняется высокая летальность. В большинстве случаев вызывается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граммотрицательными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бактриями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(кишечная палочка, клебсиелла, синегнойная палочка, сальмонелла, протей).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Диагностика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ИЭ нужно заподозрить у пациентов с сердечным шумом, указывающим на органическое поражение клапанов или врожденные пороки, у пациентов с протезированными клапанами и лихорадкой, анемией, гематурией,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физикальными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данными, такими как петехии, узелки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Ослера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,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спленомегалия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, локальные кровоизлияния.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Диагноз ИЭ часто затруднителен, так как бактериемия может встречаться без инфекционного поражения клапанов сердца; ИЭ может возникать и при отрицательном анализе крови, особенно если пациент получал антибиотики</w:t>
      </w:r>
      <w:r w:rsidR="00622966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при лихорадке неясного генеза</w:t>
      </w: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Точный диагноз может быть поставлен при положительном посеве крови и/или характерных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эхокардиографических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данных.</w:t>
      </w:r>
    </w:p>
    <w:p w:rsidR="0034366C" w:rsidRPr="001C7643" w:rsidRDefault="00622966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="0034366C" w:rsidRPr="001C7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Жалобы и анамнез</w:t>
      </w:r>
    </w:p>
    <w:p w:rsidR="00622966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Симптомы инфекционного эндокардита обычно начинают проявляться через 2 недели от момента внедрения инфекционного агента. Клинические проявления очень многообразны от «стертых» симптомов, до острой сердечной недостаточности на фоне выраженной клапанной недостаточности при быстром разрушении створок.</w:t>
      </w:r>
    </w:p>
    <w:p w:rsidR="00622966" w:rsidRPr="001C7643" w:rsidRDefault="00622966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Следует обращать внимание на такие симптомы, как:</w:t>
      </w:r>
    </w:p>
    <w:p w:rsidR="0034366C" w:rsidRPr="001C7643" w:rsidRDefault="0034366C" w:rsidP="001C7643">
      <w:pPr>
        <w:numPr>
          <w:ilvl w:val="0"/>
          <w:numId w:val="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гектическая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лихорадка обычно 38°С-39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°С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(при остром эндокардите может быть и выше) с потрясающим ознобом, реже ощущение сильной зябкости (у пожилых и 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ослабленных пациентов температура может не превышать субфебрильных значений);</w:t>
      </w:r>
    </w:p>
    <w:p w:rsidR="0034366C" w:rsidRPr="001C7643" w:rsidRDefault="0034366C" w:rsidP="001C7643">
      <w:pPr>
        <w:numPr>
          <w:ilvl w:val="0"/>
          <w:numId w:val="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ночной пот;</w:t>
      </w:r>
    </w:p>
    <w:p w:rsidR="0034366C" w:rsidRPr="001C7643" w:rsidRDefault="0034366C" w:rsidP="001C7643">
      <w:pPr>
        <w:numPr>
          <w:ilvl w:val="0"/>
          <w:numId w:val="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отсутствие аппетита;</w:t>
      </w:r>
    </w:p>
    <w:p w:rsidR="0034366C" w:rsidRPr="001C7643" w:rsidRDefault="0034366C" w:rsidP="001C7643">
      <w:pPr>
        <w:numPr>
          <w:ilvl w:val="0"/>
          <w:numId w:val="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рвота;</w:t>
      </w:r>
    </w:p>
    <w:p w:rsidR="0034366C" w:rsidRPr="001C7643" w:rsidRDefault="0034366C" w:rsidP="001C7643">
      <w:pPr>
        <w:numPr>
          <w:ilvl w:val="0"/>
          <w:numId w:val="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тошнота;</w:t>
      </w:r>
    </w:p>
    <w:p w:rsidR="0034366C" w:rsidRPr="001C7643" w:rsidRDefault="0034366C" w:rsidP="001C7643">
      <w:pPr>
        <w:numPr>
          <w:ilvl w:val="0"/>
          <w:numId w:val="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быстрое похудание;</w:t>
      </w:r>
    </w:p>
    <w:p w:rsidR="0034366C" w:rsidRPr="001C7643" w:rsidRDefault="0034366C" w:rsidP="001C7643">
      <w:pPr>
        <w:numPr>
          <w:ilvl w:val="0"/>
          <w:numId w:val="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боли в суставах (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полиартралгии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 20% пациентов, могут поражаться мелкие суставы кистей и стоп, но чаще поражаются крупные суставы).</w:t>
      </w:r>
    </w:p>
    <w:p w:rsidR="0034366C" w:rsidRPr="001C7643" w:rsidRDefault="00622966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proofErr w:type="spellStart"/>
      <w:r w:rsidR="0034366C" w:rsidRPr="001C7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Физикальное</w:t>
      </w:r>
      <w:proofErr w:type="spellEnd"/>
      <w:r w:rsidR="0034366C" w:rsidRPr="001C7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обследование</w:t>
      </w:r>
    </w:p>
    <w:p w:rsidR="00622966" w:rsidRPr="001C7643" w:rsidRDefault="00622966" w:rsidP="001C7643">
      <w:pPr>
        <w:numPr>
          <w:ilvl w:val="0"/>
          <w:numId w:val="7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Общий осмотр для выявления многочисленных неспецифических симптомов</w:t>
      </w:r>
    </w:p>
    <w:p w:rsidR="00622966" w:rsidRPr="001C7643" w:rsidRDefault="00622966" w:rsidP="001C76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Обязательно выполнение перкусс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ии и ау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скультации сердца для выявления наличия смещения верхушечного толчка, появления патологических шумов в сердце.</w:t>
      </w:r>
    </w:p>
    <w:p w:rsidR="0034366C" w:rsidRPr="001C7643" w:rsidRDefault="00622966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="0034366C" w:rsidRPr="001C7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Лабораторная диагностика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Лабораторные проявления:</w:t>
      </w: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 повышение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лактата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, метаболический ацидоз. Могут наблюдаться лейкопения и тромбоцитопения, повышение уровня </w:t>
      </w:r>
      <w:proofErr w:type="gram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сывороточных</w:t>
      </w:r>
      <w:proofErr w:type="gram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трансаминаз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.</w:t>
      </w:r>
    </w:p>
    <w:p w:rsidR="00622966" w:rsidRPr="001C7643" w:rsidRDefault="00622966" w:rsidP="001C7643">
      <w:pPr>
        <w:numPr>
          <w:ilvl w:val="0"/>
          <w:numId w:val="8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Клинический анализ крови (</w:t>
      </w: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выявляется лейкоцитоз,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нормохромная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анемия, повышена скорость оседания эритроцитов.)</w:t>
      </w:r>
    </w:p>
    <w:p w:rsidR="00622966" w:rsidRPr="001C7643" w:rsidRDefault="00622966" w:rsidP="001C7643">
      <w:pPr>
        <w:numPr>
          <w:ilvl w:val="0"/>
          <w:numId w:val="8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Общий анализ мочи (</w:t>
      </w: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микрогематурия </w:t>
      </w:r>
      <w:proofErr w:type="gram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</w:t>
      </w:r>
      <w:proofErr w:type="gram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или без протеинурии.</w:t>
      </w:r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</w:t>
      </w:r>
    </w:p>
    <w:p w:rsidR="00622966" w:rsidRPr="001C7643" w:rsidRDefault="00622966" w:rsidP="001C7643">
      <w:pPr>
        <w:numPr>
          <w:ilvl w:val="0"/>
          <w:numId w:val="8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Ревматоидный фактор,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С-реактивный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белок</w:t>
      </w:r>
    </w:p>
    <w:p w:rsidR="004C7240" w:rsidRPr="001C7643" w:rsidRDefault="004C7240" w:rsidP="001C7643">
      <w:pPr>
        <w:numPr>
          <w:ilvl w:val="0"/>
          <w:numId w:val="8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Биохимический анализ крови (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гипоальбуминемия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, азотемия и повышение уровня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креатинина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</w:p>
    <w:p w:rsidR="004C7240" w:rsidRPr="001C7643" w:rsidRDefault="004C7240" w:rsidP="001C7643">
      <w:pPr>
        <w:numPr>
          <w:ilvl w:val="0"/>
          <w:numId w:val="8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Коагулограмма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может быть несколько увеличено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протромбиновое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время, снижен индекс протромбина по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Квику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, повышен уровень фибриногена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</w:p>
    <w:p w:rsidR="004C7240" w:rsidRPr="001C7643" w:rsidRDefault="004C7240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4. </w:t>
      </w:r>
      <w:r w:rsidR="0034366C" w:rsidRPr="001C7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Инструментальная диагностика</w:t>
      </w:r>
    </w:p>
    <w:p w:rsidR="0034366C" w:rsidRPr="001C7643" w:rsidRDefault="0034366C" w:rsidP="001C7643">
      <w:pPr>
        <w:pStyle w:val="a8"/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Эхо-КГ </w:t>
      </w:r>
      <w:r w:rsidR="004C724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4C7240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необходимо </w:t>
      </w:r>
      <w:proofErr w:type="spellStart"/>
      <w:r w:rsidR="004C7240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эхокардиографическая</w:t>
      </w:r>
      <w:proofErr w:type="spellEnd"/>
      <w:r w:rsidR="004C7240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оценка гемодинамической характеристики патологии клапанного аппарата, оценка функции желудочков и давления в ЛА и для выявления осложнений.</w:t>
      </w:r>
      <w:r w:rsidR="004C724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</w:p>
    <w:p w:rsidR="0034366C" w:rsidRPr="001C7643" w:rsidRDefault="0034366C" w:rsidP="001C7643">
      <w:pPr>
        <w:numPr>
          <w:ilvl w:val="0"/>
          <w:numId w:val="9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ЧпЭхо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-КГ всем пациентам с установленным диагно</w:t>
      </w:r>
      <w:r w:rsidR="004C724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зом ИЭ или с подозрением на ИЭ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numPr>
          <w:ilvl w:val="0"/>
          <w:numId w:val="10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выполнение как минимум 2 посевов крови у </w:t>
      </w:r>
      <w:r w:rsidR="004C724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пациентов с риском развития ИЭ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numPr>
          <w:ilvl w:val="0"/>
          <w:numId w:val="11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Рекомендуется выполнение компьютерной томографии при подозрении на распростран</w:t>
      </w:r>
      <w:r w:rsidR="004C724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енность инфекционного процесса</w:t>
      </w: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numPr>
          <w:ilvl w:val="0"/>
          <w:numId w:val="12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Рекомендуется выполнение магнитно-резонансной томографии (сосудистая программа) или ангиографии сосудов головного мозга всем пациентам с ак</w:t>
      </w:r>
      <w:r w:rsidR="004C724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тивным ИЭ левых отделов сердца.</w:t>
      </w:r>
      <w:proofErr w:type="gramEnd"/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Лечение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Консервативное лечение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Терапия ИЭ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непротезированных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клапанов, </w:t>
      </w:r>
      <w:proofErr w:type="gram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вызванным</w:t>
      </w:r>
      <w:proofErr w:type="gram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группой высокочувствительных к пенициллину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Streptococci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Streptococcus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bovis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(продолжительность антибактериальной терапии 4 недели):</w:t>
      </w:r>
    </w:p>
    <w:p w:rsidR="0034366C" w:rsidRPr="001C7643" w:rsidRDefault="0034366C" w:rsidP="001C7643">
      <w:pPr>
        <w:numPr>
          <w:ilvl w:val="0"/>
          <w:numId w:val="1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водный раствор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бензилпенициллина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(12–18 МЕ/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однократно или 4–6 введений (детям: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бензилпенициллин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200 000 ЕД/кг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4–6 введений)),</w:t>
      </w:r>
    </w:p>
    <w:p w:rsidR="0034366C" w:rsidRPr="001C7643" w:rsidRDefault="0034366C" w:rsidP="001C7643">
      <w:pPr>
        <w:numPr>
          <w:ilvl w:val="0"/>
          <w:numId w:val="1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цефтриаксон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однократно (детям: 100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однократно).</w:t>
      </w:r>
      <w:proofErr w:type="gramEnd"/>
    </w:p>
    <w:p w:rsidR="0034366C" w:rsidRPr="001C7643" w:rsidRDefault="0034366C" w:rsidP="001C7643">
      <w:pPr>
        <w:numPr>
          <w:ilvl w:val="0"/>
          <w:numId w:val="1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ванкомицин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(30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 введения, не более 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 (детям: 40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2–3 введения в/в или в/м в 1 или 3 введения).</w:t>
      </w:r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F011B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екомендован только у пациентов с непереносимостью </w:t>
      </w:r>
      <w:proofErr w:type="spellStart"/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бензилпенициллина</w:t>
      </w:r>
      <w:proofErr w:type="spellEnd"/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или </w:t>
      </w:r>
      <w:proofErr w:type="spellStart"/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цефтриаксона</w:t>
      </w:r>
      <w:proofErr w:type="spellEnd"/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.</w:t>
      </w:r>
      <w:proofErr w:type="gramEnd"/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proofErr w:type="gramStart"/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Доза должна быть отрегулирована так, чтобы пик сывороточной концентрации (через 1 час после </w:t>
      </w:r>
      <w:proofErr w:type="spellStart"/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инфузии</w:t>
      </w:r>
      <w:proofErr w:type="spellEnd"/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 был 30–45 мг/мл, с дальнейшей концентрацией 10–15 мг/мл.</w:t>
      </w:r>
      <w:r w:rsidR="000622A0"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</w:t>
      </w:r>
      <w:proofErr w:type="gramEnd"/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Терапия ИЭ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непротезированных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клапанов, </w:t>
      </w:r>
      <w:proofErr w:type="gram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вызванного</w:t>
      </w:r>
      <w:proofErr w:type="gram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группой микроорганизмов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Streptococci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относительно устойчивых к пенициллину (продолжительность антибактериальной терапии 4 недели):</w:t>
      </w:r>
    </w:p>
    <w:p w:rsidR="0034366C" w:rsidRPr="001C7643" w:rsidRDefault="0034366C" w:rsidP="001C7643">
      <w:pPr>
        <w:numPr>
          <w:ilvl w:val="0"/>
          <w:numId w:val="1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водный раствор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бензилпенициллина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(24 млн ЕД в/в непрерывно или 4–6 введений (детям: 300 000 ЕД/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4–6 введений))</w:t>
      </w:r>
    </w:p>
    <w:p w:rsidR="0034366C" w:rsidRPr="001C7643" w:rsidRDefault="0034366C" w:rsidP="001C7643">
      <w:pPr>
        <w:numPr>
          <w:ilvl w:val="0"/>
          <w:numId w:val="17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цефтриаксон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однократно (детям: 100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однократно)) и гентамицин** (3 мг 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однократно (детям: 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1 или 3 введения)).</w:t>
      </w:r>
      <w:proofErr w:type="gramEnd"/>
    </w:p>
    <w:p w:rsidR="0034366C" w:rsidRPr="001C7643" w:rsidRDefault="0034366C" w:rsidP="001C7643">
      <w:pPr>
        <w:numPr>
          <w:ilvl w:val="0"/>
          <w:numId w:val="18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ванкомицин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(30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 введения, но не более 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(детям: 40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2–3 введения)).</w:t>
      </w:r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рекомендовано только у пациентов с непереносимостью пенициллина или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цефтриаксона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.</w:t>
      </w:r>
      <w:r w:rsidR="000622A0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)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Терапия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энтерококкового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ИЭ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непротезированных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протезированных клапанов, </w:t>
      </w:r>
      <w:proofErr w:type="gram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вызванного</w:t>
      </w:r>
      <w:proofErr w:type="gram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штаммами, восприимчивыми к пенициллину, гентамицину и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ванкомицину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(продолжительность терапии 4-6 недель):</w:t>
      </w:r>
    </w:p>
    <w:p w:rsidR="0034366C" w:rsidRPr="001C7643" w:rsidRDefault="0034366C" w:rsidP="001C7643">
      <w:pPr>
        <w:numPr>
          <w:ilvl w:val="0"/>
          <w:numId w:val="19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Рекомендуется ампициллин** (12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6 введений (детям: 300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4–6 введений).</w:t>
      </w:r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при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непротезированных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клапанах: 4-недельная терапия рекомендована пациентам с симптомами заболевания не более 3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мес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, 6-недельная – с симптомами более 3 месяцев.</w:t>
      </w:r>
      <w:r w:rsidR="000622A0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)</w:t>
      </w:r>
    </w:p>
    <w:p w:rsidR="0034366C" w:rsidRPr="001C7643" w:rsidRDefault="0034366C" w:rsidP="001C7643">
      <w:pPr>
        <w:numPr>
          <w:ilvl w:val="0"/>
          <w:numId w:val="20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ванкомимицин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(30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2 введения; (детям: 40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2–3 введения)) в сочетании с гентамицином** (3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 (детям: 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введения)).</w:t>
      </w:r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только у пациентов с непереносимостью к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бензилпенициллину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или ампициллину. 6-недельная терапия рекомендована из-за снижения эффективности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противоэнтерококковых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мер.</w:t>
      </w:r>
      <w:r w:rsidR="000622A0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)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Терапия ИЭ, вызванного стафилококком, при отсутствии протезированного материала (продолжительность терапии 6 недель):</w:t>
      </w:r>
    </w:p>
    <w:p w:rsidR="0034366C" w:rsidRPr="001C7643" w:rsidRDefault="0034366C" w:rsidP="001C7643">
      <w:pPr>
        <w:numPr>
          <w:ilvl w:val="0"/>
          <w:numId w:val="21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оксациллиновосприимчивых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штаммах 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нафциллин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(в РФ не зарегистрирован) (12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4–6 введений (детям: 200 мг/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/в в 4–6 введений)) или сочетание оксациллина** и гентамицина** (3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2–3 введения (детям: 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3 введения)).</w:t>
      </w:r>
    </w:p>
    <w:p w:rsidR="0034366C" w:rsidRPr="001C7643" w:rsidRDefault="0034366C" w:rsidP="001C7643">
      <w:pPr>
        <w:numPr>
          <w:ilvl w:val="0"/>
          <w:numId w:val="22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При аллергии на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бензилпенициллин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рекомендуется гентамицин** (3мг/кг/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2-3 введения (детям: 3мг/кг/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введения))</w:t>
      </w:r>
      <w:proofErr w:type="gramEnd"/>
    </w:p>
    <w:p w:rsidR="0034366C" w:rsidRPr="001C7643" w:rsidRDefault="0034366C" w:rsidP="001C7643">
      <w:pPr>
        <w:numPr>
          <w:ilvl w:val="0"/>
          <w:numId w:val="2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оксациллиноустойчивых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штамах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ванкомицин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(30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 введения).</w:t>
      </w:r>
    </w:p>
    <w:p w:rsidR="0034366C" w:rsidRPr="001C7643" w:rsidRDefault="00BA7358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6" w:anchor="3_1_5_%D0%A2%D0%B5%D1%80%D0%B0%D0%BF%D0%B8%D1%8F_%D0%98%D0%AD_%D0%BF%D1%80%D0%BE%D1%82%D0%B5%D0%B7%D0%B8%D1%80%D0%BE%D0%B2%D0%B0%D0%BD%D0%BD%D1%8B%D1%85_%D0%BA%D0%BB%D0%B0%D0%BF%D0%B0%D0%BD%D0%BE%D0%B2_%D0%B2%D1%8B%D0%B7%D0%B2%D0%B0%D0%BD%D0%BD%D0%BE%D0%B" w:history="1">
        <w:r w:rsidR="0034366C" w:rsidRPr="001C764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Терапия ИЭ-протезированных клапанов, </w:t>
        </w:r>
        <w:proofErr w:type="gramStart"/>
        <w:r w:rsidR="0034366C" w:rsidRPr="001C764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вызванного</w:t>
        </w:r>
        <w:proofErr w:type="gramEnd"/>
        <w:r w:rsidR="0034366C" w:rsidRPr="001C764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стафилококком (</w:t>
        </w:r>
        <w:proofErr w:type="spellStart"/>
        <w:r w:rsidR="0034366C" w:rsidRPr="001C764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продолжительеность</w:t>
        </w:r>
        <w:proofErr w:type="spellEnd"/>
        <w:r w:rsidR="0034366C" w:rsidRPr="001C764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терапии 6 недель):</w:t>
        </w:r>
      </w:hyperlink>
    </w:p>
    <w:p w:rsidR="0034366C" w:rsidRPr="001C7643" w:rsidRDefault="0034366C" w:rsidP="001C7643">
      <w:pPr>
        <w:numPr>
          <w:ilvl w:val="0"/>
          <w:numId w:val="2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оксациллиночувствительных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штаммах 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нафциллин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или оксациллин** (12г/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6 введений (детям: 200мг/кг/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4-6 введений)) в сочетании с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рифампицином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(900 мг/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3 введения (детям: 20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3 введения)) или гентамицином** (3мг/кг/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2-3 введения (детям: 3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2 введения)</w:t>
      </w:r>
      <w:proofErr w:type="gramEnd"/>
    </w:p>
    <w:p w:rsidR="0034366C" w:rsidRPr="001C7643" w:rsidRDefault="0034366C" w:rsidP="001C7643">
      <w:pPr>
        <w:numPr>
          <w:ilvl w:val="0"/>
          <w:numId w:val="2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оксациллино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-чувствительных штаммах 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ванкомицин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(30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2 приема (детям: 40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2-3 введения)) в сочетании с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рифампицином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(900 мг/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3 приема (детям: 20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3 введения)) и гентамицином** (3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 в 2-3 введения (детям: 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введения)).</w:t>
      </w:r>
      <w:proofErr w:type="gramEnd"/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терапии ИЭ протезированных и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непротезированных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клапанов, </w:t>
      </w:r>
      <w:proofErr w:type="gram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вызванного</w:t>
      </w:r>
      <w:proofErr w:type="gram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HACEK-группой микроорганизмов (продолжительность терапии составляет 4 недели):</w:t>
      </w:r>
    </w:p>
    <w:p w:rsidR="0034366C" w:rsidRPr="001C7643" w:rsidRDefault="0034366C" w:rsidP="001C7643">
      <w:pPr>
        <w:numPr>
          <w:ilvl w:val="0"/>
          <w:numId w:val="2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цефтриаксон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1 введение (детям: 100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/в или в/м однократно)).</w:t>
      </w:r>
    </w:p>
    <w:p w:rsidR="0034366C" w:rsidRPr="001C7643" w:rsidRDefault="0034366C" w:rsidP="001C7643">
      <w:pPr>
        <w:numPr>
          <w:ilvl w:val="0"/>
          <w:numId w:val="27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Рекомендуется ампициллин** (12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4 введения (детям: 300</w:t>
      </w:r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мг/кг/</w:t>
      </w:r>
      <w:proofErr w:type="spellStart"/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4-6 введений))</w:t>
      </w:r>
    </w:p>
    <w:p w:rsidR="0034366C" w:rsidRPr="001C7643" w:rsidRDefault="0034366C" w:rsidP="001C7643">
      <w:pPr>
        <w:numPr>
          <w:ilvl w:val="0"/>
          <w:numId w:val="28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ципрофлоксацин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(1000 мг/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или 800мг/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внутрь в 2 приема (детям: 20-30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/в или внутрь в 2 приема))</w:t>
      </w:r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Терапия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фторхинолонами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рекомендована только пациентам с непереносимостью цефалоспоринов и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ампицилина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.</w:t>
      </w:r>
      <w:proofErr w:type="gram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Могут быть </w:t>
      </w:r>
      <w:proofErr w:type="gram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назначены</w:t>
      </w:r>
      <w:proofErr w:type="gram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левофлоксацин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**,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гатифлоксацин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**,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моксифлоксацин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**. </w:t>
      </w:r>
      <w:proofErr w:type="spell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Фторхинолоны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не рекомендованы до 18 лет. </w:t>
      </w:r>
      <w:proofErr w:type="gram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Пациенты с протезированными клапанами должны лечиться 6 недель.</w:t>
      </w:r>
      <w:r w:rsidR="000622A0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)</w:t>
      </w:r>
      <w:proofErr w:type="gramEnd"/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 терапии ИЭ с неопределенным возбудителем и вызванным </w:t>
      </w:r>
      <w:proofErr w:type="spellStart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Bartonella</w:t>
      </w:r>
      <w:proofErr w:type="spellEnd"/>
      <w:r w:rsidRPr="001C7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(продолжительность терапии 4-6 недель):</w:t>
      </w:r>
    </w:p>
    <w:p w:rsidR="0034366C" w:rsidRPr="001C7643" w:rsidRDefault="0034366C" w:rsidP="001C7643">
      <w:pPr>
        <w:numPr>
          <w:ilvl w:val="0"/>
          <w:numId w:val="29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непротезированных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клапанах рекомендуется сочетание ампициллина** (2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 введения (детям: 300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4-6 введений)) и гентамицина** (3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 (детям: 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введения)).</w:t>
      </w:r>
    </w:p>
    <w:p w:rsidR="0034366C" w:rsidRPr="001C7643" w:rsidRDefault="0034366C" w:rsidP="001C7643">
      <w:pPr>
        <w:numPr>
          <w:ilvl w:val="0"/>
          <w:numId w:val="30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непротезированных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клапанах рекомендуется сочетание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ванкомицина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(30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 введения (детям: 40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2-3 введения)), гентамицина** (3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 введения (детям: 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введения)) 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ципрофлоксацина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(1000 мг/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внутрь или 800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 введения (детям: 20-30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2 введения))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proofErr w:type="gramEnd"/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в</w:t>
      </w:r>
      <w:proofErr w:type="gram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анкомицин</w:t>
      </w:r>
      <w:proofErr w:type="spellEnd"/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рекомендован только у пациентов с непереносимостью к пенициллину.</w:t>
      </w:r>
      <w:r w:rsidR="000622A0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)</w:t>
      </w:r>
    </w:p>
    <w:p w:rsidR="0034366C" w:rsidRPr="001C7643" w:rsidRDefault="0034366C" w:rsidP="001C7643">
      <w:pPr>
        <w:numPr>
          <w:ilvl w:val="0"/>
          <w:numId w:val="31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протезированных клапанах сроком менее 1 года рекомендуется препарат на выбор –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ванкомицин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(30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 введения (детям: 40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2-3 введения)), гентамицин** (3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 (детям: 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введения)),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цефепим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(6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3 введения (детям: 150 мг/кг\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3 введения)),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рифампицин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(900 мг/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внутрь или в/в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3 введения (детям: 20 мг/кг\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внутрь или в/в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3 введения)).</w:t>
      </w:r>
    </w:p>
    <w:p w:rsidR="0034366C" w:rsidRPr="001C7643" w:rsidRDefault="0034366C" w:rsidP="001C7643">
      <w:pPr>
        <w:numPr>
          <w:ilvl w:val="0"/>
          <w:numId w:val="32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протезированных клапанах более 1 года и подозрении на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Bartonella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или на невыясненный возбудитель 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цефтриаксон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(2 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1 введение (детям: 100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однократно в сутки)) в сочетании с гентамицином** (3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 (детям: 3 мг/кг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</w:t>
      </w:r>
      <w:proofErr w:type="spellStart"/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введения)) и с/без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доксициклина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(200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2 введения (детям: 2-4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2 введения)).</w:t>
      </w:r>
      <w:proofErr w:type="gramEnd"/>
    </w:p>
    <w:p w:rsidR="0034366C" w:rsidRPr="001C7643" w:rsidRDefault="0034366C" w:rsidP="001C7643">
      <w:pPr>
        <w:numPr>
          <w:ilvl w:val="0"/>
          <w:numId w:val="3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подтвержденной культуре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Bartonella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рекомендуется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доксициклин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 (200 мг/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2 введения (детям: 2-4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внутрь в 2 введения)) с гентамицином** (3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в/в или в/м в 3 введения (детям: 3 мг/кг/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сут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  <w:proofErr w:type="gramEnd"/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Хирургическое лечение</w:t>
      </w:r>
    </w:p>
    <w:p w:rsidR="0034366C" w:rsidRPr="001C7643" w:rsidRDefault="0034366C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Две главных цели хирургии — полное удаление инфицированных тканей и реконструкция морфологии сердца, включая восстановление</w:t>
      </w:r>
      <w:r w:rsidR="000622A0" w:rsidRPr="001C76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или замену поражённых клапанов.</w:t>
      </w:r>
    </w:p>
    <w:p w:rsidR="0034366C" w:rsidRPr="001C7643" w:rsidRDefault="0034366C" w:rsidP="001C7643">
      <w:pPr>
        <w:numPr>
          <w:ilvl w:val="0"/>
          <w:numId w:val="3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Рекомендуется принять решение о сроках проведения хирургического вмешательства с помощью многопрофильной команды (‘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Heart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Valve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Team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’) – врачей-кардиологов, врачей-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кардиоторакальных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</w:t>
      </w:r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ирургов и врачей-инфекционистов.</w:t>
      </w:r>
    </w:p>
    <w:p w:rsidR="0034366C" w:rsidRPr="001C7643" w:rsidRDefault="0034366C" w:rsidP="001C7643">
      <w:pPr>
        <w:numPr>
          <w:ilvl w:val="0"/>
          <w:numId w:val="35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Рекомендуется раннее оперативное вмешательство пациентам с ИЭ, у которых присутствуют симптомы, характерные для сердечной недостаточности</w:t>
      </w:r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вследствие дисфункции клапана.</w:t>
      </w:r>
    </w:p>
    <w:p w:rsidR="0034366C" w:rsidRPr="001C7643" w:rsidRDefault="0034366C" w:rsidP="001C7643">
      <w:pPr>
        <w:numPr>
          <w:ilvl w:val="0"/>
          <w:numId w:val="36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Рекомендуется оперативное вмешательство в раннем периоде (в течение первичной госпитализации до завершения полного курса антибиотикотерапии) пациентам с ИЭ левых отделов сердца, вызванного золотистым стафилококком, грибами или другими высокоустойчи</w:t>
      </w:r>
      <w:r w:rsidR="000622A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выми к антибиотикам организмами.</w:t>
      </w:r>
    </w:p>
    <w:p w:rsidR="0034366C" w:rsidRPr="001C7643" w:rsidRDefault="0034366C" w:rsidP="001C7643">
      <w:pPr>
        <w:numPr>
          <w:ilvl w:val="0"/>
          <w:numId w:val="37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оперативное вмешательство пациентам с ИЭ в раннем периоде (с момента госпитализации до завершения полного терапевтического курса антибиотикотерапии), осложненным блокадой, абсцессом ФК или аорты, или с деструктивной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пенетрацией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пораженных </w:t>
      </w:r>
      <w:r w:rsidR="00F011B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тканей.</w:t>
      </w:r>
      <w:proofErr w:type="gramEnd"/>
    </w:p>
    <w:p w:rsidR="0034366C" w:rsidRPr="001C7643" w:rsidRDefault="0034366C" w:rsidP="001C7643">
      <w:pPr>
        <w:numPr>
          <w:ilvl w:val="0"/>
          <w:numId w:val="38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оперативное вмешательство в раннем периоде (во время первичной госпитализации до завершения полного курса антибиотикотерапии) при ИЭ пациентам с признаками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персистирующей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инфекции, как проявление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персистирующей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бактериемии или лихорадки длительностью более 5 - 7 дней после назначения соответствующей антибактериальной терапии.</w:t>
      </w:r>
    </w:p>
    <w:p w:rsidR="0034366C" w:rsidRPr="001C7643" w:rsidRDefault="0034366C" w:rsidP="001C7643">
      <w:pPr>
        <w:numPr>
          <w:ilvl w:val="0"/>
          <w:numId w:val="39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Операция рекомендуется пациентам с протезным эндокардитом и рецидивирующей инфекцией (определяется как рецидив бактериемии после полного курса соответствующей антибиотикотерапии и вследствие отрицательных посевов крови) без д</w:t>
      </w:r>
      <w:r w:rsidR="00F011B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ругих явных источников инфекции.</w:t>
      </w:r>
    </w:p>
    <w:p w:rsidR="0034366C" w:rsidRPr="001C7643" w:rsidRDefault="0034366C" w:rsidP="001C7643">
      <w:pPr>
        <w:numPr>
          <w:ilvl w:val="0"/>
          <w:numId w:val="40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полное удаление системы ЭКС или КВД, включая все электроды и сам прибор, при подозрении на ИЭ и выполняется на ранних этапах ведения пациента с ИЭ и документальным подтверждением заражения устройства </w:t>
      </w:r>
      <w:r w:rsidR="00F011B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или электродов.</w:t>
      </w:r>
    </w:p>
    <w:p w:rsidR="0034366C" w:rsidRPr="001C7643" w:rsidRDefault="0034366C" w:rsidP="001C7643">
      <w:pPr>
        <w:numPr>
          <w:ilvl w:val="0"/>
          <w:numId w:val="41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полное удаление системы ЭКС или КВД, включая все электроды и само устройство у пациентов с ИЭ клапанов сердца,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вызванным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S.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aureus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грибами, даже без данных об инфи</w:t>
      </w:r>
      <w:r w:rsidR="00F011B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цировании прибора или проводов.</w:t>
      </w:r>
    </w:p>
    <w:p w:rsidR="0034366C" w:rsidRPr="001C7643" w:rsidRDefault="0034366C" w:rsidP="001C7643">
      <w:pPr>
        <w:numPr>
          <w:ilvl w:val="0"/>
          <w:numId w:val="42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Рекомендуется полное удаление системы ЭКС или КВД, включая все электроды и прибор, у пациентов с ИЭ клапанов сердца</w:t>
      </w:r>
      <w:r w:rsidR="00F011B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numPr>
          <w:ilvl w:val="0"/>
          <w:numId w:val="43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оперативное вмешательство в раннем периоде (во время первичной госпитализации до завершения полного терапевтического курса антибиотиков) у пациентов с ИЭ, у которых присутствует рецидивирующая эмболия и наличие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персистирующих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вегетаций, несмотря на соответств</w:t>
      </w:r>
      <w:r w:rsidR="00F011B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ующую антибактериальную терапию.</w:t>
      </w:r>
    </w:p>
    <w:p w:rsidR="0034366C" w:rsidRPr="001C7643" w:rsidRDefault="0034366C" w:rsidP="001C7643">
      <w:pPr>
        <w:numPr>
          <w:ilvl w:val="0"/>
          <w:numId w:val="44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оперативное вмешательство в раннем периоде (с момента первичной госпитализации до завершения полного курса антибиотикотерапии) у пациентов с эндокардитом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нативных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клапанов в случае, когда появляются подвижные вегетации более 10 мм (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или </w:t>
      </w:r>
      <w:proofErr w:type="gram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без</w:t>
      </w:r>
      <w:proofErr w:type="gram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клинических проявлений эмболии). 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Реабилитация</w:t>
      </w:r>
    </w:p>
    <w:p w:rsidR="0034366C" w:rsidRPr="001C7643" w:rsidRDefault="00F011B0" w:rsidP="001C76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34366C"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ериод реабилитационного восстановления, с возможностью возобновления трудовой деятельности, составляет минимум 2 месяца с обязательным курсом антибактериальной терапии</w:t>
      </w:r>
      <w:r w:rsidRPr="001C764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(6-8 недель).</w:t>
      </w:r>
    </w:p>
    <w:p w:rsidR="0034366C" w:rsidRPr="001C7643" w:rsidRDefault="0034366C" w:rsidP="001C7643">
      <w:pPr>
        <w:shd w:val="clear" w:color="auto" w:fill="FFFFFF"/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Профилактика</w:t>
      </w:r>
    </w:p>
    <w:p w:rsidR="0034366C" w:rsidRPr="001C7643" w:rsidRDefault="0034366C" w:rsidP="001C7643">
      <w:pPr>
        <w:numPr>
          <w:ilvl w:val="0"/>
          <w:numId w:val="47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Рекомендуется проведение Эхо-КГ через 3, 6, 12 месяцев после </w:t>
      </w:r>
      <w:proofErr w:type="spellStart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оператвиного</w:t>
      </w:r>
      <w:proofErr w:type="spellEnd"/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вмешательства</w:t>
      </w:r>
      <w:r w:rsidR="00F011B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366C" w:rsidRPr="001C7643" w:rsidRDefault="0034366C" w:rsidP="001C7643">
      <w:pPr>
        <w:numPr>
          <w:ilvl w:val="0"/>
          <w:numId w:val="48"/>
        </w:num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Пациентам с инъекционной наркоманией следует пройти комплексное лечение и наблюдение совместно с психологами, </w:t>
      </w:r>
      <w:r w:rsidR="00F011B0" w:rsidRPr="001C76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инфекционистами и кардиологом.</w:t>
      </w:r>
    </w:p>
    <w:p w:rsidR="00B36FEA" w:rsidRDefault="00B36FEA" w:rsidP="001C7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643" w:rsidRDefault="001C7643" w:rsidP="001C7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643" w:rsidRDefault="001C7643" w:rsidP="001C7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643" w:rsidRDefault="001C7643" w:rsidP="001C7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643" w:rsidRDefault="001C7643" w:rsidP="001C7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643" w:rsidRDefault="001C7643" w:rsidP="001C7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643" w:rsidRDefault="001C7643" w:rsidP="001C7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4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C7643" w:rsidRPr="00BA7358" w:rsidRDefault="001C7643" w:rsidP="001C7643">
      <w:pPr>
        <w:pStyle w:val="a3"/>
        <w:numPr>
          <w:ilvl w:val="0"/>
          <w:numId w:val="51"/>
        </w:numPr>
        <w:rPr>
          <w:color w:val="000000"/>
          <w:sz w:val="28"/>
        </w:rPr>
      </w:pPr>
      <w:proofErr w:type="spellStart"/>
      <w:r w:rsidRPr="00BA7358">
        <w:rPr>
          <w:i/>
          <w:iCs/>
          <w:color w:val="000000"/>
          <w:sz w:val="28"/>
        </w:rPr>
        <w:t>Амирагов</w:t>
      </w:r>
      <w:proofErr w:type="spellEnd"/>
      <w:r w:rsidRPr="00BA7358">
        <w:rPr>
          <w:i/>
          <w:iCs/>
          <w:color w:val="000000"/>
          <w:sz w:val="28"/>
        </w:rPr>
        <w:t xml:space="preserve"> Р.И., Бабенко С.И. и </w:t>
      </w:r>
      <w:proofErr w:type="spellStart"/>
      <w:r w:rsidRPr="00BA7358">
        <w:rPr>
          <w:i/>
          <w:iCs/>
          <w:color w:val="000000"/>
          <w:sz w:val="28"/>
        </w:rPr>
        <w:t>др</w:t>
      </w:r>
      <w:proofErr w:type="gramStart"/>
      <w:r w:rsidRPr="00BA7358">
        <w:rPr>
          <w:i/>
          <w:iCs/>
          <w:color w:val="000000"/>
          <w:sz w:val="28"/>
        </w:rPr>
        <w:t>.</w:t>
      </w:r>
      <w:r w:rsidRPr="00BA7358">
        <w:rPr>
          <w:color w:val="000000"/>
          <w:sz w:val="28"/>
        </w:rPr>
        <w:t>К</w:t>
      </w:r>
      <w:proofErr w:type="gramEnd"/>
      <w:r w:rsidRPr="00BA7358">
        <w:rPr>
          <w:color w:val="000000"/>
          <w:sz w:val="28"/>
        </w:rPr>
        <w:t>линические</w:t>
      </w:r>
      <w:proofErr w:type="spellEnd"/>
      <w:r w:rsidRPr="00BA7358">
        <w:rPr>
          <w:color w:val="000000"/>
          <w:sz w:val="28"/>
        </w:rPr>
        <w:t xml:space="preserve"> рекомендации «Инфекционный эндокардит (ИЭ)»</w:t>
      </w:r>
      <w:bookmarkStart w:id="0" w:name="_GoBack"/>
      <w:bookmarkEnd w:id="0"/>
      <w:r w:rsidRPr="00BA7358">
        <w:rPr>
          <w:color w:val="000000"/>
          <w:sz w:val="28"/>
        </w:rPr>
        <w:t>, 2016 год.</w:t>
      </w:r>
    </w:p>
    <w:p w:rsidR="001C7643" w:rsidRPr="00BA7358" w:rsidRDefault="001C7643" w:rsidP="001C7643">
      <w:pPr>
        <w:pStyle w:val="a3"/>
        <w:numPr>
          <w:ilvl w:val="0"/>
          <w:numId w:val="51"/>
        </w:numPr>
        <w:rPr>
          <w:color w:val="000000"/>
          <w:sz w:val="28"/>
        </w:rPr>
      </w:pPr>
      <w:r w:rsidRPr="00BA7358">
        <w:rPr>
          <w:color w:val="000000"/>
          <w:sz w:val="28"/>
        </w:rPr>
        <w:t>Рекомендации </w:t>
      </w:r>
      <w:r w:rsidRPr="00BA7358">
        <w:rPr>
          <w:b/>
          <w:bCs/>
          <w:color w:val="000000"/>
          <w:sz w:val="28"/>
        </w:rPr>
        <w:t>ESC </w:t>
      </w:r>
      <w:r w:rsidRPr="00BA7358">
        <w:rPr>
          <w:color w:val="000000"/>
          <w:sz w:val="28"/>
        </w:rPr>
        <w:t>по ведению больных с инфекционным эндокардитом, 2015</w:t>
      </w:r>
    </w:p>
    <w:p w:rsidR="001C7643" w:rsidRPr="001C7643" w:rsidRDefault="001C7643" w:rsidP="001C7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C7643" w:rsidRPr="001C7643" w:rsidSect="001C7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F65"/>
    <w:multiLevelType w:val="multilevel"/>
    <w:tmpl w:val="4148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21D76"/>
    <w:multiLevelType w:val="multilevel"/>
    <w:tmpl w:val="BE5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D3A54"/>
    <w:multiLevelType w:val="multilevel"/>
    <w:tmpl w:val="C1E4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668D1"/>
    <w:multiLevelType w:val="multilevel"/>
    <w:tmpl w:val="BAF8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B056E"/>
    <w:multiLevelType w:val="multilevel"/>
    <w:tmpl w:val="00DC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1289F"/>
    <w:multiLevelType w:val="multilevel"/>
    <w:tmpl w:val="2F9A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873F6"/>
    <w:multiLevelType w:val="multilevel"/>
    <w:tmpl w:val="053C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1423A"/>
    <w:multiLevelType w:val="multilevel"/>
    <w:tmpl w:val="EBD8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7A067A"/>
    <w:multiLevelType w:val="hybridMultilevel"/>
    <w:tmpl w:val="590ED038"/>
    <w:lvl w:ilvl="0" w:tplc="7C3A4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A005A"/>
    <w:multiLevelType w:val="multilevel"/>
    <w:tmpl w:val="4D2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056D6"/>
    <w:multiLevelType w:val="multilevel"/>
    <w:tmpl w:val="21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A5BC6"/>
    <w:multiLevelType w:val="multilevel"/>
    <w:tmpl w:val="EF16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35264"/>
    <w:multiLevelType w:val="multilevel"/>
    <w:tmpl w:val="326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D43BF"/>
    <w:multiLevelType w:val="multilevel"/>
    <w:tmpl w:val="530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26B49"/>
    <w:multiLevelType w:val="multilevel"/>
    <w:tmpl w:val="463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040A4"/>
    <w:multiLevelType w:val="multilevel"/>
    <w:tmpl w:val="0F1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21256B"/>
    <w:multiLevelType w:val="multilevel"/>
    <w:tmpl w:val="8586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92D59"/>
    <w:multiLevelType w:val="multilevel"/>
    <w:tmpl w:val="C69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45C3F"/>
    <w:multiLevelType w:val="multilevel"/>
    <w:tmpl w:val="5128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A4D1E"/>
    <w:multiLevelType w:val="multilevel"/>
    <w:tmpl w:val="632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5D1A01"/>
    <w:multiLevelType w:val="multilevel"/>
    <w:tmpl w:val="BA3E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B0E96"/>
    <w:multiLevelType w:val="multilevel"/>
    <w:tmpl w:val="9446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14173"/>
    <w:multiLevelType w:val="multilevel"/>
    <w:tmpl w:val="3FA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53813"/>
    <w:multiLevelType w:val="multilevel"/>
    <w:tmpl w:val="E820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A479CB"/>
    <w:multiLevelType w:val="multilevel"/>
    <w:tmpl w:val="8CEC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F0401D"/>
    <w:multiLevelType w:val="multilevel"/>
    <w:tmpl w:val="D14C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0968AC"/>
    <w:multiLevelType w:val="multilevel"/>
    <w:tmpl w:val="A978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AF4D1F"/>
    <w:multiLevelType w:val="multilevel"/>
    <w:tmpl w:val="E108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F1F81"/>
    <w:multiLevelType w:val="multilevel"/>
    <w:tmpl w:val="BC42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A6E3A"/>
    <w:multiLevelType w:val="multilevel"/>
    <w:tmpl w:val="DEDC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053ECD"/>
    <w:multiLevelType w:val="multilevel"/>
    <w:tmpl w:val="226A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52C50"/>
    <w:multiLevelType w:val="multilevel"/>
    <w:tmpl w:val="4B44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6646D7"/>
    <w:multiLevelType w:val="multilevel"/>
    <w:tmpl w:val="D43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E655DC"/>
    <w:multiLevelType w:val="multilevel"/>
    <w:tmpl w:val="444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B60966"/>
    <w:multiLevelType w:val="multilevel"/>
    <w:tmpl w:val="9E8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EE129C"/>
    <w:multiLevelType w:val="hybridMultilevel"/>
    <w:tmpl w:val="14D0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50A7F"/>
    <w:multiLevelType w:val="multilevel"/>
    <w:tmpl w:val="A50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933A45"/>
    <w:multiLevelType w:val="multilevel"/>
    <w:tmpl w:val="5A7A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AC7518"/>
    <w:multiLevelType w:val="multilevel"/>
    <w:tmpl w:val="E904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060A8"/>
    <w:multiLevelType w:val="multilevel"/>
    <w:tmpl w:val="D21E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E571F"/>
    <w:multiLevelType w:val="multilevel"/>
    <w:tmpl w:val="EFCC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03784B"/>
    <w:multiLevelType w:val="multilevel"/>
    <w:tmpl w:val="5434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3873B5"/>
    <w:multiLevelType w:val="multilevel"/>
    <w:tmpl w:val="7364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3C47BE"/>
    <w:multiLevelType w:val="multilevel"/>
    <w:tmpl w:val="1908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23525B"/>
    <w:multiLevelType w:val="multilevel"/>
    <w:tmpl w:val="6DB4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705464"/>
    <w:multiLevelType w:val="multilevel"/>
    <w:tmpl w:val="7D8A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5774C1"/>
    <w:multiLevelType w:val="multilevel"/>
    <w:tmpl w:val="CA96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B958D7"/>
    <w:multiLevelType w:val="multilevel"/>
    <w:tmpl w:val="CF0E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97D5B"/>
    <w:multiLevelType w:val="multilevel"/>
    <w:tmpl w:val="AFCE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2D24A0"/>
    <w:multiLevelType w:val="multilevel"/>
    <w:tmpl w:val="90CE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7928F2"/>
    <w:multiLevelType w:val="multilevel"/>
    <w:tmpl w:val="F6F8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0"/>
  </w:num>
  <w:num w:numId="3">
    <w:abstractNumId w:val="18"/>
  </w:num>
  <w:num w:numId="4">
    <w:abstractNumId w:val="17"/>
  </w:num>
  <w:num w:numId="5">
    <w:abstractNumId w:val="45"/>
  </w:num>
  <w:num w:numId="6">
    <w:abstractNumId w:val="22"/>
  </w:num>
  <w:num w:numId="7">
    <w:abstractNumId w:val="12"/>
  </w:num>
  <w:num w:numId="8">
    <w:abstractNumId w:val="1"/>
  </w:num>
  <w:num w:numId="9">
    <w:abstractNumId w:val="13"/>
  </w:num>
  <w:num w:numId="10">
    <w:abstractNumId w:val="48"/>
  </w:num>
  <w:num w:numId="11">
    <w:abstractNumId w:val="33"/>
  </w:num>
  <w:num w:numId="12">
    <w:abstractNumId w:val="25"/>
  </w:num>
  <w:num w:numId="13">
    <w:abstractNumId w:val="9"/>
  </w:num>
  <w:num w:numId="14">
    <w:abstractNumId w:val="2"/>
  </w:num>
  <w:num w:numId="15">
    <w:abstractNumId w:val="38"/>
  </w:num>
  <w:num w:numId="16">
    <w:abstractNumId w:val="28"/>
  </w:num>
  <w:num w:numId="17">
    <w:abstractNumId w:val="41"/>
  </w:num>
  <w:num w:numId="18">
    <w:abstractNumId w:val="19"/>
  </w:num>
  <w:num w:numId="19">
    <w:abstractNumId w:val="27"/>
  </w:num>
  <w:num w:numId="20">
    <w:abstractNumId w:val="5"/>
  </w:num>
  <w:num w:numId="21">
    <w:abstractNumId w:val="14"/>
  </w:num>
  <w:num w:numId="22">
    <w:abstractNumId w:val="36"/>
  </w:num>
  <w:num w:numId="23">
    <w:abstractNumId w:val="31"/>
  </w:num>
  <w:num w:numId="24">
    <w:abstractNumId w:val="0"/>
  </w:num>
  <w:num w:numId="25">
    <w:abstractNumId w:val="46"/>
  </w:num>
  <w:num w:numId="26">
    <w:abstractNumId w:val="3"/>
  </w:num>
  <w:num w:numId="27">
    <w:abstractNumId w:val="21"/>
  </w:num>
  <w:num w:numId="28">
    <w:abstractNumId w:val="6"/>
  </w:num>
  <w:num w:numId="29">
    <w:abstractNumId w:val="42"/>
  </w:num>
  <w:num w:numId="30">
    <w:abstractNumId w:val="26"/>
  </w:num>
  <w:num w:numId="31">
    <w:abstractNumId w:val="20"/>
  </w:num>
  <w:num w:numId="32">
    <w:abstractNumId w:val="44"/>
  </w:num>
  <w:num w:numId="33">
    <w:abstractNumId w:val="43"/>
  </w:num>
  <w:num w:numId="34">
    <w:abstractNumId w:val="16"/>
  </w:num>
  <w:num w:numId="35">
    <w:abstractNumId w:val="24"/>
  </w:num>
  <w:num w:numId="36">
    <w:abstractNumId w:val="47"/>
  </w:num>
  <w:num w:numId="37">
    <w:abstractNumId w:val="10"/>
  </w:num>
  <w:num w:numId="38">
    <w:abstractNumId w:val="49"/>
  </w:num>
  <w:num w:numId="39">
    <w:abstractNumId w:val="37"/>
  </w:num>
  <w:num w:numId="40">
    <w:abstractNumId w:val="29"/>
  </w:num>
  <w:num w:numId="41">
    <w:abstractNumId w:val="11"/>
  </w:num>
  <w:num w:numId="42">
    <w:abstractNumId w:val="34"/>
  </w:num>
  <w:num w:numId="43">
    <w:abstractNumId w:val="23"/>
  </w:num>
  <w:num w:numId="44">
    <w:abstractNumId w:val="7"/>
  </w:num>
  <w:num w:numId="45">
    <w:abstractNumId w:val="50"/>
  </w:num>
  <w:num w:numId="46">
    <w:abstractNumId w:val="32"/>
  </w:num>
  <w:num w:numId="47">
    <w:abstractNumId w:val="15"/>
  </w:num>
  <w:num w:numId="48">
    <w:abstractNumId w:val="40"/>
  </w:num>
  <w:num w:numId="49">
    <w:abstractNumId w:val="8"/>
  </w:num>
  <w:num w:numId="50">
    <w:abstractNumId w:val="35"/>
  </w:num>
  <w:num w:numId="51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EA"/>
    <w:rsid w:val="000622A0"/>
    <w:rsid w:val="001C7643"/>
    <w:rsid w:val="0034366C"/>
    <w:rsid w:val="00487396"/>
    <w:rsid w:val="004C7240"/>
    <w:rsid w:val="00622966"/>
    <w:rsid w:val="00772979"/>
    <w:rsid w:val="00847E59"/>
    <w:rsid w:val="00B36FEA"/>
    <w:rsid w:val="00BA7358"/>
    <w:rsid w:val="00F0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3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36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36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4366C"/>
  </w:style>
  <w:style w:type="paragraph" w:styleId="a3">
    <w:name w:val="Normal (Web)"/>
    <w:basedOn w:val="a"/>
    <w:uiPriority w:val="99"/>
    <w:semiHidden/>
    <w:unhideWhenUsed/>
    <w:rsid w:val="0034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66C"/>
    <w:rPr>
      <w:b/>
      <w:bCs/>
    </w:rPr>
  </w:style>
  <w:style w:type="character" w:styleId="a5">
    <w:name w:val="Hyperlink"/>
    <w:basedOn w:val="a0"/>
    <w:uiPriority w:val="99"/>
    <w:semiHidden/>
    <w:unhideWhenUsed/>
    <w:rsid w:val="003436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366C"/>
    <w:rPr>
      <w:color w:val="800080"/>
      <w:u w:val="single"/>
    </w:rPr>
  </w:style>
  <w:style w:type="character" w:styleId="a7">
    <w:name w:val="Emphasis"/>
    <w:basedOn w:val="a0"/>
    <w:uiPriority w:val="20"/>
    <w:qFormat/>
    <w:rsid w:val="0034366C"/>
    <w:rPr>
      <w:i/>
      <w:iCs/>
    </w:rPr>
  </w:style>
  <w:style w:type="paragraph" w:styleId="a8">
    <w:name w:val="List Paragraph"/>
    <w:basedOn w:val="a"/>
    <w:uiPriority w:val="34"/>
    <w:qFormat/>
    <w:rsid w:val="0062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3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36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36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4366C"/>
  </w:style>
  <w:style w:type="paragraph" w:styleId="a3">
    <w:name w:val="Normal (Web)"/>
    <w:basedOn w:val="a"/>
    <w:uiPriority w:val="99"/>
    <w:semiHidden/>
    <w:unhideWhenUsed/>
    <w:rsid w:val="0034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66C"/>
    <w:rPr>
      <w:b/>
      <w:bCs/>
    </w:rPr>
  </w:style>
  <w:style w:type="character" w:styleId="a5">
    <w:name w:val="Hyperlink"/>
    <w:basedOn w:val="a0"/>
    <w:uiPriority w:val="99"/>
    <w:semiHidden/>
    <w:unhideWhenUsed/>
    <w:rsid w:val="003436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366C"/>
    <w:rPr>
      <w:color w:val="800080"/>
      <w:u w:val="single"/>
    </w:rPr>
  </w:style>
  <w:style w:type="character" w:styleId="a7">
    <w:name w:val="Emphasis"/>
    <w:basedOn w:val="a0"/>
    <w:uiPriority w:val="20"/>
    <w:qFormat/>
    <w:rsid w:val="0034366C"/>
    <w:rPr>
      <w:i/>
      <w:iCs/>
    </w:rPr>
  </w:style>
  <w:style w:type="paragraph" w:styleId="a8">
    <w:name w:val="List Paragraph"/>
    <w:basedOn w:val="a"/>
    <w:uiPriority w:val="34"/>
    <w:qFormat/>
    <w:rsid w:val="0062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1291">
          <w:marLeft w:val="0"/>
          <w:marRight w:val="0"/>
          <w:marTop w:val="0"/>
          <w:marBottom w:val="0"/>
          <w:divBdr>
            <w:top w:val="single" w:sz="6" w:space="0" w:color="EFEF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50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00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90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4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9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409867">
          <w:marLeft w:val="0"/>
          <w:marRight w:val="0"/>
          <w:marTop w:val="0"/>
          <w:marBottom w:val="0"/>
          <w:divBdr>
            <w:top w:val="single" w:sz="6" w:space="0" w:color="EFEF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078213">
          <w:marLeft w:val="0"/>
          <w:marRight w:val="0"/>
          <w:marTop w:val="0"/>
          <w:marBottom w:val="0"/>
          <w:divBdr>
            <w:top w:val="single" w:sz="6" w:space="0" w:color="EFEF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8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7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8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7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2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3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175985">
          <w:marLeft w:val="0"/>
          <w:marRight w:val="0"/>
          <w:marTop w:val="0"/>
          <w:marBottom w:val="0"/>
          <w:divBdr>
            <w:top w:val="single" w:sz="6" w:space="0" w:color="EFEF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927597">
          <w:marLeft w:val="0"/>
          <w:marRight w:val="0"/>
          <w:marTop w:val="0"/>
          <w:marBottom w:val="0"/>
          <w:divBdr>
            <w:top w:val="single" w:sz="6" w:space="0" w:color="EFEF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mededtech.ru/rest/documents/KR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20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</dc:creator>
  <cp:keywords/>
  <dc:description/>
  <cp:lastModifiedBy>269</cp:lastModifiedBy>
  <cp:revision>3</cp:revision>
  <dcterms:created xsi:type="dcterms:W3CDTF">2022-05-25T06:24:00Z</dcterms:created>
  <dcterms:modified xsi:type="dcterms:W3CDTF">2022-05-26T06:32:00Z</dcterms:modified>
</cp:coreProperties>
</file>