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8" w:rsidRPr="009C10C8" w:rsidRDefault="009C10C8" w:rsidP="009C10C8">
      <w:pPr>
        <w:pStyle w:val="a3"/>
        <w:spacing w:before="68" w:line="360" w:lineRule="auto"/>
        <w:ind w:right="406"/>
        <w:jc w:val="center"/>
        <w:rPr>
          <w:color w:val="000000" w:themeColor="text1"/>
          <w:sz w:val="22"/>
          <w:szCs w:val="22"/>
        </w:rPr>
      </w:pPr>
      <w:r w:rsidRPr="009C10C8">
        <w:rPr>
          <w:color w:val="000000" w:themeColor="text1"/>
          <w:sz w:val="22"/>
          <w:szCs w:val="22"/>
        </w:rPr>
        <w:t>Государственное</w:t>
      </w:r>
      <w:r w:rsidRPr="009C10C8">
        <w:rPr>
          <w:color w:val="000000" w:themeColor="text1"/>
          <w:spacing w:val="-7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бюджетное</w:t>
      </w:r>
      <w:r w:rsidRPr="009C10C8">
        <w:rPr>
          <w:color w:val="000000" w:themeColor="text1"/>
          <w:spacing w:val="-10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образовательное</w:t>
      </w:r>
      <w:r w:rsidRPr="009C10C8">
        <w:rPr>
          <w:color w:val="000000" w:themeColor="text1"/>
          <w:spacing w:val="-10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учреждение</w:t>
      </w:r>
      <w:r w:rsidRPr="009C10C8">
        <w:rPr>
          <w:color w:val="000000" w:themeColor="text1"/>
          <w:spacing w:val="-6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высшего</w:t>
      </w:r>
      <w:r w:rsidRPr="009C10C8">
        <w:rPr>
          <w:color w:val="000000" w:themeColor="text1"/>
          <w:spacing w:val="-2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профессионального</w:t>
      </w:r>
      <w:r w:rsidRPr="009C10C8">
        <w:rPr>
          <w:color w:val="000000" w:themeColor="text1"/>
          <w:spacing w:val="-57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образования</w:t>
      </w:r>
      <w:r w:rsidRPr="009C10C8">
        <w:rPr>
          <w:color w:val="000000" w:themeColor="text1"/>
          <w:spacing w:val="-5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«Красноярский</w:t>
      </w:r>
      <w:r w:rsidRPr="009C10C8">
        <w:rPr>
          <w:color w:val="000000" w:themeColor="text1"/>
          <w:spacing w:val="1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государственный</w:t>
      </w:r>
      <w:r w:rsidRPr="009C10C8">
        <w:rPr>
          <w:color w:val="000000" w:themeColor="text1"/>
          <w:spacing w:val="-4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медицинский</w:t>
      </w:r>
      <w:r w:rsidRPr="009C10C8">
        <w:rPr>
          <w:color w:val="000000" w:themeColor="text1"/>
          <w:spacing w:val="1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 xml:space="preserve">университет имени профессора В.Ф. </w:t>
      </w:r>
      <w:proofErr w:type="spellStart"/>
      <w:r w:rsidRPr="009C10C8">
        <w:rPr>
          <w:color w:val="000000" w:themeColor="text1"/>
          <w:sz w:val="22"/>
          <w:szCs w:val="22"/>
        </w:rPr>
        <w:t>Войно-Ясенецкого</w:t>
      </w:r>
      <w:proofErr w:type="spellEnd"/>
      <w:r w:rsidRPr="009C10C8">
        <w:rPr>
          <w:color w:val="000000" w:themeColor="text1"/>
          <w:sz w:val="22"/>
          <w:szCs w:val="22"/>
        </w:rPr>
        <w:t>» Министерства здравоохранения Российской Федерации</w:t>
      </w:r>
      <w:r>
        <w:rPr>
          <w:color w:val="000000" w:themeColor="text1"/>
          <w:sz w:val="22"/>
          <w:szCs w:val="22"/>
        </w:rPr>
        <w:t xml:space="preserve"> </w:t>
      </w:r>
      <w:r w:rsidRPr="009C10C8">
        <w:rPr>
          <w:color w:val="000000" w:themeColor="text1"/>
          <w:spacing w:val="-57"/>
          <w:sz w:val="22"/>
          <w:szCs w:val="22"/>
        </w:rPr>
        <w:t xml:space="preserve"> </w:t>
      </w:r>
      <w:r>
        <w:rPr>
          <w:color w:val="000000" w:themeColor="text1"/>
          <w:spacing w:val="-57"/>
          <w:sz w:val="22"/>
          <w:szCs w:val="22"/>
        </w:rPr>
        <w:t xml:space="preserve">     Ф </w:t>
      </w:r>
      <w:r w:rsidRPr="009C10C8">
        <w:rPr>
          <w:color w:val="000000" w:themeColor="text1"/>
          <w:sz w:val="22"/>
          <w:szCs w:val="22"/>
        </w:rPr>
        <w:t>ГБОУ</w:t>
      </w:r>
      <w:r w:rsidRPr="009C10C8">
        <w:rPr>
          <w:color w:val="000000" w:themeColor="text1"/>
          <w:spacing w:val="-3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 xml:space="preserve">ВПО </w:t>
      </w:r>
      <w:proofErr w:type="spellStart"/>
      <w:r w:rsidRPr="009C10C8">
        <w:rPr>
          <w:color w:val="000000" w:themeColor="text1"/>
          <w:sz w:val="22"/>
          <w:szCs w:val="22"/>
        </w:rPr>
        <w:t>КрасГМУ</w:t>
      </w:r>
      <w:proofErr w:type="spellEnd"/>
      <w:r w:rsidRPr="009C10C8">
        <w:rPr>
          <w:color w:val="000000" w:themeColor="text1"/>
          <w:spacing w:val="-2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им.</w:t>
      </w:r>
      <w:r w:rsidRPr="009C10C8">
        <w:rPr>
          <w:color w:val="000000" w:themeColor="text1"/>
          <w:spacing w:val="3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проф.</w:t>
      </w:r>
      <w:r w:rsidRPr="009C10C8">
        <w:rPr>
          <w:color w:val="000000" w:themeColor="text1"/>
          <w:spacing w:val="-3"/>
          <w:sz w:val="22"/>
          <w:szCs w:val="22"/>
        </w:rPr>
        <w:t xml:space="preserve"> </w:t>
      </w:r>
      <w:r w:rsidRPr="009C10C8">
        <w:rPr>
          <w:color w:val="000000" w:themeColor="text1"/>
          <w:sz w:val="22"/>
          <w:szCs w:val="22"/>
        </w:rPr>
        <w:t>В.Ф.</w:t>
      </w:r>
      <w:r w:rsidRPr="009C10C8">
        <w:rPr>
          <w:color w:val="000000" w:themeColor="text1"/>
          <w:spacing w:val="-2"/>
          <w:sz w:val="22"/>
          <w:szCs w:val="22"/>
        </w:rPr>
        <w:t xml:space="preserve"> </w:t>
      </w:r>
      <w:proofErr w:type="spellStart"/>
      <w:r w:rsidRPr="009C10C8">
        <w:rPr>
          <w:color w:val="000000" w:themeColor="text1"/>
          <w:sz w:val="22"/>
          <w:szCs w:val="22"/>
        </w:rPr>
        <w:t>Войно-Ясенецкого</w:t>
      </w:r>
      <w:proofErr w:type="spellEnd"/>
      <w:r w:rsidRPr="009C10C8">
        <w:rPr>
          <w:color w:val="000000" w:themeColor="text1"/>
          <w:sz w:val="22"/>
          <w:szCs w:val="22"/>
        </w:rPr>
        <w:t xml:space="preserve"> МЗ России</w:t>
      </w:r>
    </w:p>
    <w:p w:rsidR="009C10C8" w:rsidRPr="009C10C8" w:rsidRDefault="009C10C8" w:rsidP="009C10C8">
      <w:pPr>
        <w:pStyle w:val="a3"/>
        <w:spacing w:line="360" w:lineRule="auto"/>
        <w:jc w:val="center"/>
        <w:rPr>
          <w:color w:val="000000" w:themeColor="text1"/>
          <w:sz w:val="22"/>
          <w:szCs w:val="22"/>
        </w:rPr>
      </w:pPr>
      <w:r w:rsidRPr="009C10C8">
        <w:rPr>
          <w:color w:val="000000" w:themeColor="text1"/>
          <w:sz w:val="22"/>
          <w:szCs w:val="22"/>
          <w:shd w:val="clear" w:color="auto" w:fill="FFFFFF"/>
        </w:rPr>
        <w:t xml:space="preserve">Кафедра инфекционных болезней и эпидемиологии с курсом </w:t>
      </w:r>
      <w:proofErr w:type="gramStart"/>
      <w:r w:rsidRPr="009C10C8">
        <w:rPr>
          <w:color w:val="000000" w:themeColor="text1"/>
          <w:sz w:val="22"/>
          <w:szCs w:val="22"/>
          <w:shd w:val="clear" w:color="auto" w:fill="FFFFFF"/>
        </w:rPr>
        <w:t>ПО</w:t>
      </w:r>
      <w:proofErr w:type="gramEnd"/>
    </w:p>
    <w:p w:rsidR="009C10C8" w:rsidRPr="009C10C8" w:rsidRDefault="009C10C8" w:rsidP="009C10C8">
      <w:pPr>
        <w:pStyle w:val="a3"/>
        <w:spacing w:line="360" w:lineRule="auto"/>
        <w:rPr>
          <w:color w:val="000000" w:themeColor="text1"/>
          <w:sz w:val="22"/>
          <w:szCs w:val="22"/>
        </w:rPr>
      </w:pPr>
    </w:p>
    <w:p w:rsidR="009C10C8" w:rsidRPr="00D82BD1" w:rsidRDefault="009C10C8" w:rsidP="009C10C8">
      <w:pPr>
        <w:pStyle w:val="a3"/>
        <w:spacing w:line="360" w:lineRule="auto"/>
        <w:rPr>
          <w:color w:val="000000" w:themeColor="text1"/>
          <w:sz w:val="22"/>
          <w:szCs w:val="22"/>
        </w:rPr>
      </w:pPr>
    </w:p>
    <w:p w:rsidR="009C10C8" w:rsidRPr="00647515" w:rsidRDefault="009C10C8" w:rsidP="009C10C8">
      <w:pPr>
        <w:pStyle w:val="a5"/>
        <w:spacing w:before="262" w:line="360" w:lineRule="auto"/>
        <w:rPr>
          <w:b w:val="0"/>
          <w:color w:val="000000" w:themeColor="text1"/>
          <w:sz w:val="44"/>
          <w:szCs w:val="44"/>
        </w:rPr>
      </w:pPr>
      <w:r w:rsidRPr="00647515">
        <w:rPr>
          <w:b w:val="0"/>
          <w:color w:val="000000" w:themeColor="text1"/>
          <w:sz w:val="44"/>
          <w:szCs w:val="44"/>
        </w:rPr>
        <w:t>Реферат по теме</w:t>
      </w:r>
      <w:r w:rsidR="00647515" w:rsidRPr="00647515">
        <w:rPr>
          <w:b w:val="0"/>
          <w:color w:val="000000" w:themeColor="text1"/>
          <w:sz w:val="44"/>
          <w:szCs w:val="44"/>
        </w:rPr>
        <w:t>:</w:t>
      </w:r>
    </w:p>
    <w:p w:rsidR="009C10C8" w:rsidRPr="006A633E" w:rsidRDefault="006A633E" w:rsidP="00647515">
      <w:pPr>
        <w:pStyle w:val="a5"/>
        <w:spacing w:before="262" w:line="360" w:lineRule="auto"/>
        <w:rPr>
          <w:b w:val="0"/>
          <w:color w:val="000000" w:themeColor="text1"/>
          <w:sz w:val="40"/>
          <w:szCs w:val="40"/>
        </w:rPr>
      </w:pPr>
      <w:r>
        <w:rPr>
          <w:b w:val="0"/>
          <w:color w:val="000000" w:themeColor="text1"/>
          <w:sz w:val="40"/>
          <w:szCs w:val="40"/>
        </w:rPr>
        <w:t xml:space="preserve">Дифференциальная диагностика острых респираторных вирусных инфекций и </w:t>
      </w:r>
      <w:r>
        <w:rPr>
          <w:b w:val="0"/>
          <w:color w:val="000000" w:themeColor="text1"/>
          <w:sz w:val="40"/>
          <w:szCs w:val="40"/>
          <w:lang w:val="en-US"/>
        </w:rPr>
        <w:t>COVID</w:t>
      </w:r>
      <w:r w:rsidRPr="006A633E">
        <w:rPr>
          <w:b w:val="0"/>
          <w:color w:val="000000" w:themeColor="text1"/>
          <w:sz w:val="40"/>
          <w:szCs w:val="40"/>
        </w:rPr>
        <w:t>-19</w:t>
      </w:r>
    </w:p>
    <w:p w:rsidR="009C10C8" w:rsidRPr="009C10C8" w:rsidRDefault="009C10C8" w:rsidP="009C10C8">
      <w:pPr>
        <w:pStyle w:val="a3"/>
        <w:spacing w:line="360" w:lineRule="auto"/>
        <w:rPr>
          <w:color w:val="000000" w:themeColor="text1"/>
          <w:sz w:val="22"/>
          <w:szCs w:val="22"/>
        </w:rPr>
      </w:pPr>
    </w:p>
    <w:p w:rsidR="009C10C8" w:rsidRPr="009C10C8" w:rsidRDefault="009C10C8" w:rsidP="009C10C8">
      <w:pPr>
        <w:pStyle w:val="a3"/>
        <w:spacing w:line="360" w:lineRule="auto"/>
        <w:rPr>
          <w:b/>
          <w:color w:val="000000" w:themeColor="text1"/>
          <w:sz w:val="22"/>
          <w:szCs w:val="22"/>
        </w:rPr>
      </w:pPr>
    </w:p>
    <w:tbl>
      <w:tblPr>
        <w:tblW w:w="915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867"/>
        <w:gridCol w:w="1207"/>
        <w:gridCol w:w="5082"/>
      </w:tblGrid>
      <w:tr w:rsidR="009C10C8" w:rsidRPr="009C10C8" w:rsidTr="00644B93">
        <w:trPr>
          <w:trHeight w:val="1135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9C10C8" w:rsidRPr="009C10C8" w:rsidRDefault="009C10C8" w:rsidP="009C1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9C10C8" w:rsidRPr="009C10C8" w:rsidRDefault="009C10C8" w:rsidP="009C10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10C8" w:rsidRPr="009C10C8" w:rsidRDefault="009C10C8" w:rsidP="009C10C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:rsidR="009C10C8" w:rsidRPr="009C10C8" w:rsidRDefault="009C10C8" w:rsidP="009C1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u w:val="single"/>
              </w:rPr>
            </w:pPr>
            <w:r w:rsidRPr="009C10C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Выполнил: </w:t>
            </w:r>
            <w:r w:rsidRPr="009C10C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клинический ординатор </w:t>
            </w:r>
            <w:proofErr w:type="spellStart"/>
            <w:r w:rsidRPr="009C10C8">
              <w:rPr>
                <w:rFonts w:ascii="Times New Roman" w:hAnsi="Times New Roman" w:cs="Times New Roman"/>
                <w:color w:val="000000" w:themeColor="text1"/>
                <w:sz w:val="24"/>
              </w:rPr>
              <w:t>Хайтметова</w:t>
            </w:r>
            <w:proofErr w:type="spellEnd"/>
            <w:r w:rsidRPr="009C10C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К.А.</w:t>
            </w:r>
          </w:p>
          <w:p w:rsidR="009C10C8" w:rsidRPr="009C10C8" w:rsidRDefault="009C10C8" w:rsidP="009C1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</w:pPr>
            <w:r w:rsidRPr="009C10C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Проверил: </w:t>
            </w:r>
            <w:r w:rsidRPr="009C10C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КМН, Доцент Кузьмина Т.А.</w:t>
            </w:r>
          </w:p>
          <w:p w:rsidR="009C10C8" w:rsidRPr="009C10C8" w:rsidRDefault="009C10C8" w:rsidP="009C1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9C10C8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  <w:t>Зав</w:t>
            </w:r>
            <w:proofErr w:type="gramStart"/>
            <w:r w:rsidRPr="009C10C8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  <w:t>.к</w:t>
            </w:r>
            <w:proofErr w:type="gramEnd"/>
            <w:r w:rsidRPr="009C10C8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FFFFFF"/>
              </w:rPr>
              <w:t>афедры</w:t>
            </w:r>
            <w:proofErr w:type="spellEnd"/>
            <w:r w:rsidRPr="009C10C8">
              <w:rPr>
                <w:rFonts w:ascii="Times New Roman" w:hAnsi="Times New Roman" w:cs="Times New Roman"/>
                <w:color w:val="000000" w:themeColor="text1"/>
                <w:sz w:val="24"/>
                <w:shd w:val="clear" w:color="auto" w:fill="FFFFFF"/>
              </w:rPr>
              <w:t>: ДМН, Профессор Тихонова Е.П.</w:t>
            </w:r>
            <w:r w:rsidRPr="009C10C8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9C10C8" w:rsidRPr="009C10C8" w:rsidTr="00644B93">
        <w:trPr>
          <w:gridAfter w:val="2"/>
          <w:wAfter w:w="6289" w:type="dxa"/>
          <w:trHeight w:val="575"/>
        </w:trPr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</w:tcPr>
          <w:p w:rsidR="009C10C8" w:rsidRPr="009C10C8" w:rsidRDefault="009C10C8" w:rsidP="009C10C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9C10C8" w:rsidRPr="009C10C8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Оценка: _______________</w:t>
      </w:r>
    </w:p>
    <w:p w:rsidR="009C10C8" w:rsidRPr="009C10C8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Подпись руководителя: __________________</w:t>
      </w:r>
    </w:p>
    <w:p w:rsidR="009C10C8" w:rsidRPr="009C10C8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Дата: ________________</w:t>
      </w:r>
    </w:p>
    <w:p w:rsidR="009C10C8" w:rsidRPr="009C10C8" w:rsidRDefault="009C10C8" w:rsidP="009C10C8">
      <w:pPr>
        <w:pStyle w:val="1"/>
        <w:spacing w:before="170" w:line="360" w:lineRule="auto"/>
        <w:ind w:left="0" w:right="1627"/>
        <w:jc w:val="left"/>
        <w:rPr>
          <w:color w:val="000000" w:themeColor="text1"/>
          <w:sz w:val="22"/>
          <w:szCs w:val="22"/>
        </w:rPr>
      </w:pPr>
    </w:p>
    <w:p w:rsidR="009C10C8" w:rsidRPr="009C10C8" w:rsidRDefault="009C10C8" w:rsidP="009C10C8">
      <w:pPr>
        <w:pStyle w:val="1"/>
        <w:spacing w:before="170" w:line="360" w:lineRule="auto"/>
        <w:ind w:left="0" w:right="1627"/>
        <w:jc w:val="left"/>
        <w:rPr>
          <w:color w:val="000000" w:themeColor="text1"/>
          <w:sz w:val="22"/>
          <w:szCs w:val="22"/>
        </w:rPr>
      </w:pPr>
    </w:p>
    <w:p w:rsidR="00647515" w:rsidRPr="00D82BD1" w:rsidRDefault="00647515" w:rsidP="006A633E">
      <w:pPr>
        <w:pStyle w:val="1"/>
        <w:spacing w:before="170" w:line="360" w:lineRule="auto"/>
        <w:ind w:left="0" w:right="1627"/>
        <w:jc w:val="left"/>
        <w:rPr>
          <w:b w:val="0"/>
          <w:color w:val="000000" w:themeColor="text1"/>
          <w:sz w:val="22"/>
          <w:szCs w:val="22"/>
        </w:rPr>
      </w:pPr>
    </w:p>
    <w:p w:rsidR="009C10C8" w:rsidRPr="00D82BD1" w:rsidRDefault="009C10C8" w:rsidP="000629EF">
      <w:pPr>
        <w:pStyle w:val="1"/>
        <w:spacing w:before="170" w:line="360" w:lineRule="auto"/>
        <w:ind w:right="1627"/>
        <w:rPr>
          <w:b w:val="0"/>
          <w:color w:val="000000" w:themeColor="text1"/>
          <w:sz w:val="22"/>
          <w:szCs w:val="22"/>
        </w:rPr>
      </w:pPr>
      <w:r w:rsidRPr="009C10C8">
        <w:rPr>
          <w:b w:val="0"/>
          <w:color w:val="000000" w:themeColor="text1"/>
          <w:sz w:val="22"/>
          <w:szCs w:val="22"/>
        </w:rPr>
        <w:t>Красноярск,</w:t>
      </w:r>
      <w:r w:rsidRPr="009C10C8">
        <w:rPr>
          <w:b w:val="0"/>
          <w:color w:val="000000" w:themeColor="text1"/>
          <w:spacing w:val="-3"/>
          <w:sz w:val="22"/>
          <w:szCs w:val="22"/>
        </w:rPr>
        <w:t xml:space="preserve"> </w:t>
      </w:r>
      <w:r w:rsidRPr="009C10C8">
        <w:rPr>
          <w:b w:val="0"/>
          <w:color w:val="000000" w:themeColor="text1"/>
          <w:sz w:val="22"/>
          <w:szCs w:val="22"/>
        </w:rPr>
        <w:t>2023</w:t>
      </w:r>
    </w:p>
    <w:p w:rsidR="009C10C8" w:rsidRDefault="009C10C8" w:rsidP="009C10C8">
      <w:pPr>
        <w:tabs>
          <w:tab w:val="center" w:pos="4677"/>
          <w:tab w:val="left" w:pos="6195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ab/>
      </w:r>
      <w:r w:rsidRPr="00647515">
        <w:rPr>
          <w:rFonts w:ascii="Times New Roman" w:hAnsi="Times New Roman" w:cs="Times New Roman"/>
          <w:b/>
          <w:color w:val="000000" w:themeColor="text1"/>
          <w:sz w:val="28"/>
        </w:rPr>
        <w:t>Оглавление</w:t>
      </w:r>
      <w:r w:rsidR="00647515">
        <w:rPr>
          <w:rFonts w:ascii="Times New Roman" w:hAnsi="Times New Roman" w:cs="Times New Roman"/>
          <w:b/>
          <w:color w:val="000000" w:themeColor="text1"/>
          <w:sz w:val="28"/>
        </w:rPr>
        <w:t>:</w:t>
      </w:r>
      <w:r>
        <w:rPr>
          <w:rFonts w:ascii="Times New Roman" w:hAnsi="Times New Roman" w:cs="Times New Roman"/>
          <w:b/>
          <w:color w:val="000000" w:themeColor="text1"/>
          <w:sz w:val="24"/>
        </w:rPr>
        <w:tab/>
      </w:r>
    </w:p>
    <w:p w:rsidR="009C10C8" w:rsidRPr="00647515" w:rsidRDefault="009C10C8" w:rsidP="00647515">
      <w:pPr>
        <w:tabs>
          <w:tab w:val="center" w:pos="4677"/>
          <w:tab w:val="left" w:pos="6195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47515">
        <w:rPr>
          <w:rFonts w:ascii="Times New Roman" w:hAnsi="Times New Roman" w:cs="Times New Roman"/>
          <w:color w:val="000000" w:themeColor="text1"/>
          <w:sz w:val="28"/>
        </w:rPr>
        <w:t xml:space="preserve">1). </w:t>
      </w:r>
      <w:r w:rsidRPr="00647515">
        <w:rPr>
          <w:rFonts w:ascii="Times New Roman" w:hAnsi="Times New Roman" w:cs="Times New Roman"/>
          <w:color w:val="000000" w:themeColor="text1"/>
          <w:sz w:val="24"/>
        </w:rPr>
        <w:t>ЭПИДЕМИОЛОГИЯ ОРВИ……………………………………………</w:t>
      </w:r>
      <w:r w:rsidR="00B77817" w:rsidRPr="00647515">
        <w:rPr>
          <w:rFonts w:ascii="Times New Roman" w:hAnsi="Times New Roman" w:cs="Times New Roman"/>
          <w:color w:val="000000" w:themeColor="text1"/>
          <w:sz w:val="24"/>
        </w:rPr>
        <w:t>……..</w:t>
      </w:r>
      <w:r w:rsidRPr="00647515">
        <w:rPr>
          <w:rFonts w:ascii="Times New Roman" w:hAnsi="Times New Roman" w:cs="Times New Roman"/>
          <w:color w:val="000000" w:themeColor="text1"/>
          <w:sz w:val="24"/>
        </w:rPr>
        <w:t>3</w:t>
      </w:r>
    </w:p>
    <w:p w:rsidR="009C10C8" w:rsidRPr="00647515" w:rsidRDefault="009C10C8" w:rsidP="00647515">
      <w:pPr>
        <w:tabs>
          <w:tab w:val="center" w:pos="4677"/>
          <w:tab w:val="left" w:pos="6195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47515">
        <w:rPr>
          <w:rFonts w:ascii="Times New Roman" w:hAnsi="Times New Roman" w:cs="Times New Roman"/>
          <w:color w:val="000000" w:themeColor="text1"/>
          <w:sz w:val="24"/>
        </w:rPr>
        <w:t xml:space="preserve">2). </w:t>
      </w:r>
      <w:r w:rsidR="00B77817" w:rsidRPr="00647515">
        <w:rPr>
          <w:rFonts w:ascii="Times New Roman" w:hAnsi="Times New Roman" w:cs="Times New Roman"/>
          <w:color w:val="000000" w:themeColor="text1"/>
          <w:sz w:val="24"/>
        </w:rPr>
        <w:t>ДИФФЕРЕНЦИАЛЬНАЯ ДИАГНОСТИКА ОРВИ И COVID-19……</w:t>
      </w:r>
      <w:r w:rsidR="00647515">
        <w:rPr>
          <w:rFonts w:ascii="Times New Roman" w:hAnsi="Times New Roman" w:cs="Times New Roman"/>
          <w:color w:val="000000" w:themeColor="text1"/>
          <w:sz w:val="24"/>
        </w:rPr>
        <w:t>…….</w:t>
      </w:r>
      <w:r w:rsidR="00B77817" w:rsidRPr="00647515">
        <w:rPr>
          <w:rFonts w:ascii="Times New Roman" w:hAnsi="Times New Roman" w:cs="Times New Roman"/>
          <w:color w:val="000000" w:themeColor="text1"/>
          <w:sz w:val="24"/>
        </w:rPr>
        <w:t>4</w:t>
      </w:r>
    </w:p>
    <w:p w:rsidR="00B77817" w:rsidRPr="00647515" w:rsidRDefault="00B77817" w:rsidP="00647515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47515">
        <w:rPr>
          <w:rFonts w:ascii="Times New Roman" w:hAnsi="Times New Roman" w:cs="Times New Roman"/>
          <w:color w:val="000000" w:themeColor="text1"/>
          <w:sz w:val="24"/>
        </w:rPr>
        <w:t>3). КЛАССИФИКАЦИЯ ОРВИ И COVID-19 ПО МЕЖДУНАРОДНОЙ КЛАССИФИКАЦИИ БОЛЕЗНЕЙ 10-ГО ПЕРЕСМОТРА (МКБ-10) ………………………………</w:t>
      </w:r>
      <w:r w:rsidR="00647515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</w:t>
      </w:r>
      <w:r w:rsidRPr="00647515">
        <w:rPr>
          <w:rFonts w:ascii="Times New Roman" w:hAnsi="Times New Roman" w:cs="Times New Roman"/>
          <w:color w:val="000000" w:themeColor="text1"/>
          <w:sz w:val="24"/>
        </w:rPr>
        <w:t>.5</w:t>
      </w:r>
    </w:p>
    <w:p w:rsidR="00B77817" w:rsidRPr="00647515" w:rsidRDefault="00B77817" w:rsidP="00647515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47515">
        <w:rPr>
          <w:rFonts w:ascii="Times New Roman" w:hAnsi="Times New Roman" w:cs="Times New Roman"/>
          <w:color w:val="000000" w:themeColor="text1"/>
          <w:sz w:val="24"/>
        </w:rPr>
        <w:t>4). ЛЕКАРСТВЕННАЯ ТЕРАПИЯ ОРВИ ПРИ COVID-19…………………….6</w:t>
      </w:r>
      <w:r w:rsidR="00647515" w:rsidRPr="00647515">
        <w:rPr>
          <w:rFonts w:ascii="Times New Roman" w:hAnsi="Times New Roman" w:cs="Times New Roman"/>
          <w:color w:val="000000" w:themeColor="text1"/>
          <w:sz w:val="24"/>
        </w:rPr>
        <w:t>-8</w:t>
      </w:r>
    </w:p>
    <w:p w:rsidR="00B77817" w:rsidRPr="00647515" w:rsidRDefault="00B77817" w:rsidP="00647515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47515">
        <w:rPr>
          <w:rFonts w:ascii="Times New Roman" w:hAnsi="Times New Roman" w:cs="Times New Roman"/>
          <w:color w:val="000000" w:themeColor="text1"/>
          <w:sz w:val="24"/>
        </w:rPr>
        <w:t xml:space="preserve">5). </w:t>
      </w:r>
      <w:r w:rsidR="00647515">
        <w:rPr>
          <w:rFonts w:ascii="Times New Roman" w:hAnsi="Times New Roman" w:cs="Times New Roman"/>
          <w:color w:val="000000" w:themeColor="text1"/>
          <w:sz w:val="24"/>
        </w:rPr>
        <w:t>ЗАКЛЮЧЕНИЕ</w:t>
      </w:r>
      <w:r w:rsidR="00647515" w:rsidRPr="00647515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…………………………………………………………………</w:t>
      </w:r>
      <w:r w:rsidR="00647515">
        <w:rPr>
          <w:rFonts w:ascii="Times New Roman" w:hAnsi="Times New Roman" w:cs="Times New Roman"/>
          <w:color w:val="000000" w:themeColor="text1"/>
          <w:sz w:val="24"/>
        </w:rPr>
        <w:t>9</w:t>
      </w:r>
    </w:p>
    <w:p w:rsidR="00647515" w:rsidRPr="00647515" w:rsidRDefault="00647515" w:rsidP="00647515">
      <w:pPr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  <w:r w:rsidRPr="00647515">
        <w:rPr>
          <w:rFonts w:ascii="Times New Roman" w:hAnsi="Times New Roman" w:cs="Times New Roman"/>
          <w:color w:val="000000" w:themeColor="text1"/>
          <w:sz w:val="24"/>
        </w:rPr>
        <w:t xml:space="preserve">6). </w:t>
      </w:r>
      <w:r>
        <w:rPr>
          <w:rFonts w:ascii="Times New Roman" w:hAnsi="Times New Roman" w:cs="Times New Roman"/>
          <w:color w:val="000000" w:themeColor="text1"/>
          <w:sz w:val="24"/>
        </w:rPr>
        <w:t>СПИСОК ИСПОЛЬЗЕМОЙ ЛИТЕРАТУРЫ</w:t>
      </w:r>
      <w:r w:rsidRPr="00647515">
        <w:rPr>
          <w:rFonts w:ascii="Times New Roman" w:hAnsi="Times New Roman" w:cs="Times New Roman"/>
          <w:color w:val="000000" w:themeColor="text1"/>
          <w:sz w:val="24"/>
        </w:rPr>
        <w:t>…………………………………</w:t>
      </w:r>
      <w:r>
        <w:rPr>
          <w:rFonts w:ascii="Times New Roman" w:hAnsi="Times New Roman" w:cs="Times New Roman"/>
          <w:color w:val="000000" w:themeColor="text1"/>
          <w:sz w:val="24"/>
        </w:rPr>
        <w:t>10</w:t>
      </w:r>
    </w:p>
    <w:p w:rsidR="00647515" w:rsidRPr="00B77817" w:rsidRDefault="00647515" w:rsidP="00647515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647515">
        <w:rPr>
          <w:rFonts w:ascii="Times New Roman" w:hAnsi="Times New Roman" w:cs="Times New Roman"/>
          <w:color w:val="000000" w:themeColor="text1"/>
          <w:sz w:val="24"/>
        </w:rPr>
        <w:t xml:space="preserve">7). </w:t>
      </w:r>
      <w:r>
        <w:rPr>
          <w:rFonts w:ascii="Times New Roman" w:hAnsi="Times New Roman" w:cs="Times New Roman"/>
          <w:color w:val="000000" w:themeColor="text1"/>
          <w:sz w:val="24"/>
        </w:rPr>
        <w:t>РЕЦЕНЗИЯ НА РЕФЕРАТ</w:t>
      </w:r>
      <w:r w:rsidRPr="00647515"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</w:t>
      </w:r>
      <w:r>
        <w:rPr>
          <w:rFonts w:ascii="Times New Roman" w:hAnsi="Times New Roman" w:cs="Times New Roman"/>
          <w:color w:val="000000" w:themeColor="text1"/>
          <w:sz w:val="24"/>
        </w:rPr>
        <w:t>..</w:t>
      </w:r>
      <w:r w:rsidRPr="00647515">
        <w:rPr>
          <w:rFonts w:ascii="Times New Roman" w:hAnsi="Times New Roman" w:cs="Times New Roman"/>
          <w:color w:val="000000" w:themeColor="text1"/>
          <w:sz w:val="24"/>
        </w:rPr>
        <w:t>…</w:t>
      </w:r>
      <w:r>
        <w:rPr>
          <w:rFonts w:ascii="Times New Roman" w:hAnsi="Times New Roman" w:cs="Times New Roman"/>
          <w:color w:val="000000" w:themeColor="text1"/>
          <w:sz w:val="24"/>
        </w:rPr>
        <w:t>11</w:t>
      </w:r>
    </w:p>
    <w:p w:rsidR="00B77817" w:rsidRPr="00B77817" w:rsidRDefault="00B77817" w:rsidP="009C10C8">
      <w:pPr>
        <w:tabs>
          <w:tab w:val="center" w:pos="4677"/>
          <w:tab w:val="left" w:pos="6195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9C10C8" w:rsidRPr="009C10C8" w:rsidRDefault="009C10C8" w:rsidP="009C10C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647515" w:rsidRDefault="009C10C8" w:rsidP="00B77817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9C10C8">
        <w:rPr>
          <w:rFonts w:ascii="Times New Roman" w:hAnsi="Times New Roman" w:cs="Times New Roman"/>
          <w:b/>
          <w:color w:val="000000" w:themeColor="text1"/>
        </w:rPr>
        <w:lastRenderedPageBreak/>
        <w:t>ЭПИДЕМИОЛОГИЯ ОРВИ</w:t>
      </w:r>
    </w:p>
    <w:p w:rsidR="009C10C8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b/>
          <w:color w:val="000000" w:themeColor="text1"/>
        </w:rPr>
        <w:t>Острая респираторная вирусная инфекция (ОРВИ)</w:t>
      </w:r>
      <w:r w:rsidRPr="009C10C8">
        <w:rPr>
          <w:rFonts w:ascii="Times New Roman" w:hAnsi="Times New Roman" w:cs="Times New Roman"/>
          <w:color w:val="000000" w:themeColor="text1"/>
        </w:rPr>
        <w:t xml:space="preserve"> – острое инфекционное заболевание респираторного тракта, проявляющееся воспалением верхних дыхательных путей, в большинстве случаев завершающееся спонтанным выздоровлением.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ОРВИ, как правило, протекает с катаральными симптомами (насморком, кашлем, болью в горле и др.), признаками общей интоксикации,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субфибрильной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реже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фибрильной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, лихорадкой. Основными возбудителями ОРВИ являются вирусы гриппа типа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 xml:space="preserve"> А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и В, респираторно-синцитиальный вирус (РСВ), вирусы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парагриппа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риновирусы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аденовирусы, человеческие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метапневмовирусы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бокавирусы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сезонные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коронавирусы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. Вирусы, способные вызывать тяжелые пневмонии, такие как MERS-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CoV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и SARS-CoV-2 (возбудитель новой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коронавирусной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инфекции COVID-19), могут клинически протекать как сезонные ОРВИ. Также необходимо помнить, что ОРВИ могут иметь сочетанную этиологию, когда в развитии инфекционного процесса участ</w:t>
      </w:r>
      <w:r w:rsidR="00B77817">
        <w:rPr>
          <w:rFonts w:ascii="Times New Roman" w:hAnsi="Times New Roman" w:cs="Times New Roman"/>
          <w:color w:val="000000" w:themeColor="text1"/>
        </w:rPr>
        <w:t xml:space="preserve">вует несколько возбудителей. </w:t>
      </w: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ОРВИ </w:t>
      </w:r>
      <w:r w:rsidR="009C10C8" w:rsidRPr="009C10C8">
        <w:rPr>
          <w:rFonts w:ascii="Times New Roman" w:hAnsi="Times New Roman" w:cs="Times New Roman"/>
          <w:color w:val="000000" w:themeColor="text1"/>
        </w:rPr>
        <w:t xml:space="preserve">являются наиболее частой инфекцией человека. Ежегодно в Российской Федерации регистрируется более 30 </w:t>
      </w:r>
      <w:proofErr w:type="gramStart"/>
      <w:r w:rsidR="009C10C8" w:rsidRPr="009C10C8">
        <w:rPr>
          <w:rFonts w:ascii="Times New Roman" w:hAnsi="Times New Roman" w:cs="Times New Roman"/>
          <w:color w:val="000000" w:themeColor="text1"/>
        </w:rPr>
        <w:t>млн</w:t>
      </w:r>
      <w:proofErr w:type="gramEnd"/>
      <w:r w:rsidR="009C10C8" w:rsidRPr="009C10C8">
        <w:rPr>
          <w:rFonts w:ascii="Times New Roman" w:hAnsi="Times New Roman" w:cs="Times New Roman"/>
          <w:color w:val="000000" w:themeColor="text1"/>
        </w:rPr>
        <w:t xml:space="preserve"> случаев ОРВИ. Заболеваемость острыми инфекциями верхних дыхательных путей может значительно различаться в разные годы. Заболеваемость наиболее высока в период с сентября по апрель, пик заболеваемости приходится на февраль-март. Спад заболеваемости ОРВИ неизменно регистрируется в летние месяцы, когда она снижается в 3-5 раз. Распространение SARS-CoV-2 получил на территории КНР в период с декабря 2019 г. по март 2020 г., подтвержденные случаи заболевания были зарегистрированы во всех провинциях страны. Наибольшее количество заболевших выявлено в провинции </w:t>
      </w:r>
      <w:proofErr w:type="spellStart"/>
      <w:r w:rsidR="009C10C8" w:rsidRPr="009C10C8">
        <w:rPr>
          <w:rFonts w:ascii="Times New Roman" w:hAnsi="Times New Roman" w:cs="Times New Roman"/>
          <w:color w:val="000000" w:themeColor="text1"/>
        </w:rPr>
        <w:t>Хубэй</w:t>
      </w:r>
      <w:proofErr w:type="spellEnd"/>
      <w:r w:rsidR="009C10C8" w:rsidRPr="009C10C8">
        <w:rPr>
          <w:rFonts w:ascii="Times New Roman" w:hAnsi="Times New Roman" w:cs="Times New Roman"/>
          <w:color w:val="000000" w:themeColor="text1"/>
        </w:rPr>
        <w:t xml:space="preserve"> (более 84% от общего числа случаев в КНР). Начиная с февраля 2020 г. во многих странах мира стали регистрироваться случаи заболевания COVID-19, преимущественно связанные с поездками в КНР. В конце февраля 2020 г. резко осложнилась эпидемиологическая обстановка по COVID-19 в Южной Корее, Иране и Италии, что в последующем привело к значительному росту числа случаев заболевания в других странах мира, связанных с поездками в эти страны. ВОЗ объявила 11 марта 2020 г. о начале пандемии COVID-19.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Основным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источником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как сезонных ОРВИ, так и COVID-19 является больной человек, в том числе находящийся в инкубационном периоде заболевания. Передача инфекции осуществляется воздушно-капельным, воздушно-пылевым и контактным путями. В Российской Федерации регистрация единичных случаев COVID-19 началась с конца января 2020 г. Заболеваемость начала нарастать во второй половине марта и до настоящего времени число ежедневно регистрирующихся случаев возрастает. </w:t>
      </w: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B778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B77817" w:rsidRPr="00B77817" w:rsidRDefault="009C10C8" w:rsidP="00B778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7817">
        <w:rPr>
          <w:rFonts w:ascii="Times New Roman" w:hAnsi="Times New Roman" w:cs="Times New Roman"/>
          <w:b/>
          <w:color w:val="000000" w:themeColor="text1"/>
        </w:rPr>
        <w:lastRenderedPageBreak/>
        <w:t>ДИФФЕРЕНЦИАЛЬНАЯ ДИАГНОСТИКА ОРВИ И COVID-19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Необходимо дифференцировать COVID-19 с гриппом, острыми вирусными инфекциями, вызываемыми вирусами из группы ОРВИ (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риновирус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аденовирус, РС-вирус, человеческие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метапневмовирусы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MERSCoV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парагрипп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), вирусными гастроэнтеритами, бактериальными респираторными инфекциями.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Инкубационный период большинства ОРВИ, как правило, не превышает 3 дней, тогда как длительность инкубационного периода COVID19 может колебаться от 1 до 14 дней, однако в среднем составляет 5 дней. При гриппе заболевание начинается остро, при COVID-19 и ОРВИ, как правило, выраженность симптоматики нарастает постепенно. Как при COVID-19, так и при гриппе может отмечаться высокая лихорадка, кашель, слабость. При течении ОРВИ высокая лихорадка, слабость встречаются редко. При этом при гриппе и ОРВИ одышка и затрудненное дыхание отмечаются значительно реже, чем при COVID-19.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Основным методом этиологической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диагностики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как ОРВИ, так и COVID19 является исследование биологического материала из верхних и нижних дыхательных путей с помощью методов амплификации нуклеиновых кислот (МАНК), наиболее распространенным из которых является метод ПЦР.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C10C8">
        <w:rPr>
          <w:rFonts w:ascii="Times New Roman" w:hAnsi="Times New Roman" w:cs="Times New Roman"/>
          <w:color w:val="000000" w:themeColor="text1"/>
        </w:rPr>
        <w:t xml:space="preserve">Согласно определению подозрительного случая, любой случай острой респираторной инфекции (температура тела выше 37,5 °C и один или более из следующих признаков: кашель – сухой или со скудной мокротой, одышка, ощущение заложенности в грудной клетке, насыщение крови кислородом по данным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пульсоксиметрии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(SpO2) ≤ 95%, боль в горле, насморк и другие катаральные симптомы) при отсутствии других известных причин, которые объясняют клиническую картину вне зависимости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от эпидемиологического анамнеза, считается подозрительным на COVID-19. </w:t>
      </w: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Pr="00B77817" w:rsidRDefault="009C10C8" w:rsidP="009C10C8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B77817">
        <w:rPr>
          <w:rFonts w:ascii="Times New Roman" w:hAnsi="Times New Roman" w:cs="Times New Roman"/>
          <w:b/>
          <w:color w:val="000000" w:themeColor="text1"/>
        </w:rPr>
        <w:lastRenderedPageBreak/>
        <w:t xml:space="preserve">КЛАССИФИКАЦИЯ ОРВИ И COVID-19 ПО МЕЖДУНАРОДНОЙ КЛАССИФИКАЦИИ БОЛЕЗНЕЙ 10-ГО ПЕРЕСМОТРА (МКБ-10)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В зависимости от локализации процесса и этиологии заболевания используются следующие коды МКБ-10 для статистического учета случаев заболевания: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J00-06 Острые респираторные вирусные инфекции верхних дыхательных путей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J00 Острый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назофарингит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, насморк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J02 Острый фарингит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J02.8 Острый фарингит, вызванный другими уточненными возбудителями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J02.9 Острый фарингит неуточненный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J03 Острый тонзиллит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J03.8 Острый тонзиллит, вызванный другими уточненными возбудителями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J03.9 Острый тонзиллит неуточненный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J04 Острый ларингит и трахеит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J04.0 Острый ларингит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J04.1 Острый трахеит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J04.2 Острый ларинготрахеит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J05 Острый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обструктивный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ларингит (круп)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J05.0 Острый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обструктивный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ларингит (круп)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J06 Острая инфекция верхних дыхательных путей множественной и неуточненной локализации J06.0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Острый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ларингофарингит</w:t>
      </w:r>
      <w:proofErr w:type="spellEnd"/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J06.8 Другие острые инфекции верхних дыхательных путей множественной локализации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J06.9 Острая инфекция верхних дыхательных путей неуточненная J20-J22 Другие острые респираторные инфекции нижних дыхательных путей J20 Острый бронхит J20.4 Острый бронхит, вызванный вирусом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парагриппа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J20.5 Острый бронхит, вызванный респираторным синцитиальным вирусом J20.6 Острый бронхит, вызванный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риновирусом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J20.8 Острый бронхит, вызванн</w:t>
      </w:r>
      <w:r w:rsidR="00B77817">
        <w:rPr>
          <w:rFonts w:ascii="Times New Roman" w:hAnsi="Times New Roman" w:cs="Times New Roman"/>
          <w:color w:val="000000" w:themeColor="text1"/>
        </w:rPr>
        <w:t xml:space="preserve">ый другими уточненными агентами. </w:t>
      </w: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Pr="00B77817" w:rsidRDefault="009C10C8" w:rsidP="00B7781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77817">
        <w:rPr>
          <w:rFonts w:ascii="Times New Roman" w:hAnsi="Times New Roman" w:cs="Times New Roman"/>
          <w:b/>
          <w:color w:val="000000" w:themeColor="text1"/>
        </w:rPr>
        <w:lastRenderedPageBreak/>
        <w:t>ЛЕКАРСТВЕННАЯ ТЕРАПИЯ ОРВИ ПРИ COVID-19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Медикаментозное этиотропное лечение при ОРВИ доказано только в отношении одного возбудителя – вируса гриппа.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ВОЗ для лечения гриппа рекомендует применение этиотропных химиопрепаратов, блокирующих репликацию вируса, то есть обладающих прямым противовирусным действием. При этом противовирусная терапия должна назначаться как можно раньше, с момента первых симптомов (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в первые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48 часов болезни), и начинаться без ожидания лабораторной верификации диагноза. Эти рекомендации применимы ко всем группам пациентов, включая беременных женщин, детей раннего возраста, пожилых людей и пациентов с сопутствующими нарушениями здоровья. Преимуществами своевременного назначения противовирусной терапии являются снижение риска развития осложнений, укорочение периода лихорадки и других симптомов, что доказано клинически.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>Кроме того, противовирусная терапия показана даже при позднем обращении за медицинской помощью пациентов c тяжелыми формами или осложненным течением гриппа. В Российской Федерации среди препаратов прямого противовирусного действия представлены ингибиторы нейраминидазы вируса гриппа (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:о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>сельтамивир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МНН:занамивир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), ингибитор гемагглютинина вируса гриппа /ингибитор фузии РНК-содержащих вирусов (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МНН:умифеновир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МНН: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энисамия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йодид), блокаторы М2-каналов вируса гриппа А (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МНН:римантадин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МНН:амантадин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), синтетический аналог нуклеозида гуанина - синтеза</w:t>
      </w:r>
      <w:r w:rsidR="00B77817">
        <w:rPr>
          <w:rFonts w:ascii="Times New Roman" w:hAnsi="Times New Roman" w:cs="Times New Roman"/>
          <w:color w:val="000000" w:themeColor="text1"/>
        </w:rPr>
        <w:t xml:space="preserve"> вирусных РНК (МНН: </w:t>
      </w:r>
      <w:proofErr w:type="spellStart"/>
      <w:r w:rsidR="00B77817">
        <w:rPr>
          <w:rFonts w:ascii="Times New Roman" w:hAnsi="Times New Roman" w:cs="Times New Roman"/>
          <w:color w:val="000000" w:themeColor="text1"/>
        </w:rPr>
        <w:t>риамиловир</w:t>
      </w:r>
      <w:proofErr w:type="spellEnd"/>
      <w:r w:rsidR="00B77817">
        <w:rPr>
          <w:rFonts w:ascii="Times New Roman" w:hAnsi="Times New Roman" w:cs="Times New Roman"/>
          <w:color w:val="000000" w:themeColor="text1"/>
        </w:rPr>
        <w:t xml:space="preserve">).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Для возбудителей ОРВИ противовирусное действие других препаратов носит неспецифический характер и, скорее всего, относится к иммунотерапии. Для иммунотерапии ОРВИ используются препараты интерферонов, индукторов интерферонов, а также иммуномодулирующие препараты с иным механизмом действия.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Преимущества индукторов интерферонов в том, что они способствуют синтезу сбалансированного количества эндогенных интерферонов. Их однократное введение в терапевтических дозах приводит к длительной продукции эндогенных интерферонов. У некоторых препаратов иммуномодуляция обусловлена непосредственным воздействием на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фагоцитирующие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клетки и естественные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киллеры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, стимуляцией антителообразования. Для лечения гриппа (в составе комплексной терапии) и ОРВИ широко используются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интраназальные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формы препаратов интерферона альфа 2b и гамма, индукторы интерферонов и другие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иммунотропные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препараты</w:t>
      </w:r>
      <w:r w:rsidR="006A633E">
        <w:rPr>
          <w:rFonts w:ascii="Times New Roman" w:hAnsi="Times New Roman" w:cs="Times New Roman"/>
          <w:color w:val="000000" w:themeColor="text1"/>
        </w:rPr>
        <w:t>.</w:t>
      </w: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B77817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lastRenderedPageBreak/>
        <w:t xml:space="preserve">Однако следует помнить, что индукторы интерферона и иммуномодулирующие препараты не могут заменить противовирусные препараты прямого действия, они должны применяться только в составе комплексной терапии. В связи с недостаточной изученностью патогенеза COVID-19 и отсутствием экспериментальных и клинических данных о влиянии иммуномодулирующей терапии на течение этого инфекционного заболевания, в настоящий момент к ее назначению следует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относится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очень осторожно.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консенсусным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экспертным мнением при лечении COVID-19 рекомендуется несколько лекарственных препаратов, которые можно использовать как в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монотерапии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так и в комбинации: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:х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>лорохин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МНН:гидроксихлорохин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МНН:мефлохин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МНН:лопина</w:t>
      </w:r>
      <w:r w:rsidR="00B77817">
        <w:rPr>
          <w:rFonts w:ascii="Times New Roman" w:hAnsi="Times New Roman" w:cs="Times New Roman"/>
          <w:color w:val="000000" w:themeColor="text1"/>
        </w:rPr>
        <w:t>вир+ритонавир</w:t>
      </w:r>
      <w:proofErr w:type="spellEnd"/>
      <w:r w:rsidR="00B77817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77817">
        <w:rPr>
          <w:rFonts w:ascii="Times New Roman" w:hAnsi="Times New Roman" w:cs="Times New Roman"/>
          <w:color w:val="000000" w:themeColor="text1"/>
        </w:rPr>
        <w:t>МНН:азитромицин</w:t>
      </w:r>
      <w:proofErr w:type="spellEnd"/>
      <w:r w:rsidR="00B77817">
        <w:rPr>
          <w:rFonts w:ascii="Times New Roman" w:hAnsi="Times New Roman" w:cs="Times New Roman"/>
          <w:color w:val="000000" w:themeColor="text1"/>
        </w:rPr>
        <w:t xml:space="preserve">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Среди препаратов, которые проходят исследования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in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vitro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а также уже находятся на стадии клинических испытаний у пациентов с COVID-19, можно отметить также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:у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>мифеновир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МНН:ремдесивир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МНН:фавипиравир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и другие.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C10C8">
        <w:rPr>
          <w:rFonts w:ascii="Times New Roman" w:hAnsi="Times New Roman" w:cs="Times New Roman"/>
          <w:color w:val="000000" w:themeColor="text1"/>
        </w:rPr>
        <w:t>Принимая во внимание особенности клинических проявлений COVID-19 (высокое сходство с клиническими проявлениями сезонных ОРВИ на ранней стадии заболевания), особенности течения данной инфекции (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малосимптомное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течение в первую неделю заболевания с риском развития двусторонней пневмонии), возможность сочетанных форм заболевания (сезонные ОРВИ и COVID-19), для профилактики неблагоприятного течения инфекции и развития осложнений целесообразным может быть использование комбинированных схем лечения, включающих как препараты для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лечения сезонных ОРВИ, так и препараты, активные в отношении SARS-CoV-2. Лечение должно назначаться как можно раньше, при появлении первых симптомов заболевания без ожидания лабораторного подтверждения диагноза.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В амбулаторных условиях лечение может проводиться пациентам с легким течением ОРВИ.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 xml:space="preserve">При этом следует помнить, что пациенты в возрасте старше 65 лет или имеющие хронические заболевания (заболевания эндокринной, сердечно-сосудистой и дыхательной системы, системные заболевания соединительной ткани, онкологические заболевания и др.) являются группой риска тяжелого течения COVID-19, поэтому вне зависимости от тяжести течения заболевания по решению врача помощь им может оказываться в условиях стационара. </w:t>
      </w:r>
      <w:proofErr w:type="gramEnd"/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Основными критериями легкого течения ОРВИ являются: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• температура тела ниже 38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оС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;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• частота дыхательных движений менее 22 в мин.;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• сатурация кислорода (SpO2) более 95%;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• отсутствие одышки;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lastRenderedPageBreak/>
        <w:t xml:space="preserve">• отсутствие клинической и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аускультативной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картины пневмонии. </w:t>
      </w:r>
    </w:p>
    <w:p w:rsidR="00B77817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Лечение в амбулаторных условиях необходимо проводить под строгим контролем состояния пациента. В случае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появления признаков ухудшения состояния пациента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и прогрессирования заболевания следует незамедлительно обеспечить оказание помощи таким пациентам в условиях стационара. В качестве возможных схем лечения легких форм ОРВИ с подозрением на COVID-19 в амбулаторных условиях можно включать комбинации препаратов с доказанной эффективностью в отношении сезонных ОРВИ и препараты, предположительно эффективные в отношении SARS-CoV-2. Особенностью предложенных схем является применение пониженных дозировок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:г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>идроксихлорохина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МНН:мефлохина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что снижает риск их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кардиотоксического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действия без значительного снижения эффективности. Применение данных схем возможно до получения лабораторного подтверждения диагноза. </w:t>
      </w:r>
    </w:p>
    <w:p w:rsidR="00647515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Учитывая небольшой опыт применения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мефлохина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при COVID-19, его использование рекомендуется только при недоступности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гидроксихлорохина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. После подтверждения диагноза лечение проводится в соответствие с клиническими рекомендациями по лечению ОРВИ или временными методическими рекомендациями по лечению COVID-19.</w:t>
      </w:r>
    </w:p>
    <w:p w:rsidR="00647515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 1. рекомбинантный интерферон альфа. Капли или спрей в каждый носовой ход 5-6 раз в день (разовая доза - 3000 ME, суточная доза – 15000-18000 ME) +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гидроксихлорохин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600 мг в первый день (3 раз по 200 мг), 400 мг во второй день (2 раза по 200 мг), далее по 200 мг в сутки в течение 5 дней; </w:t>
      </w:r>
    </w:p>
    <w:p w:rsidR="00647515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2.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умифеновир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: 200 мг 4 раза в сутки +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гидроксихлорохин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600 мг в первый день (3 раз по 200 мг), 400 мг во второй день (2 раза по 200 мг), далее по 200 мг в сутки в течение 5 дней; </w:t>
      </w:r>
    </w:p>
    <w:p w:rsidR="00647515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3. рекомбинантный интерферон альфа. Капли или спрей в каждый носовой ход 5-6 раз в день (разовая доза - 3000 ME, суточная доза – 15000-18000 ME) +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мефлохин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500 мг в первый и второй день (2 раз по 250 мг), далее по 250 мг в сутки в течение 5 дней*; </w:t>
      </w:r>
    </w:p>
    <w:p w:rsidR="00647515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4.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умифеновир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: 200 мг 4 раза в сутки +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мефлохин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500 мг в первый и второй день (2 раз по 250 мг), далее по 250 мг в сутки в течение 5 дней*; </w:t>
      </w:r>
    </w:p>
    <w:p w:rsidR="00647515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5. рекомбинантный интерферон альфа. Капли или спрей в каждый носовой ход 5-6 раз в день (разовая доза - 3000 ME, суточная доза – 15000-18000 ME) +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умифеновир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200 мг 4 раза в сутки – в течение 5 дней**. * -при недоступности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гидроксихлорохина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; *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*-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при наличии противопоказаний к назначению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гидроксихлорохина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мефлохина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. </w:t>
      </w:r>
    </w:p>
    <w:p w:rsidR="006A633E" w:rsidRDefault="006A633E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Pr="006A633E" w:rsidRDefault="006A633E" w:rsidP="006A633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633E">
        <w:rPr>
          <w:rFonts w:ascii="Times New Roman" w:hAnsi="Times New Roman" w:cs="Times New Roman"/>
          <w:b/>
          <w:color w:val="000000" w:themeColor="text1"/>
        </w:rPr>
        <w:lastRenderedPageBreak/>
        <w:t>ЗАКЛЮЧЕНИЕ</w:t>
      </w:r>
    </w:p>
    <w:p w:rsidR="006A633E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Учитывая отсутствием объективных доказательств эффективности применения выше указанных препаратов при COVID-19, назначение лечения должно обязательно сопровождаться получением добровольного информированного согласия пациента (или его законного представителя). </w:t>
      </w:r>
    </w:p>
    <w:p w:rsidR="006A633E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9C10C8">
        <w:rPr>
          <w:rFonts w:ascii="Times New Roman" w:hAnsi="Times New Roman" w:cs="Times New Roman"/>
          <w:color w:val="000000" w:themeColor="text1"/>
        </w:rPr>
        <w:t>Согласно рекомендациям ВОЗ, возможно назначение препаратов с предполагаемой этиотропной эффективностью «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off-label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» (то есть применение с медицинской целью не соответствует инструкции по медицинскому применению), при этом их применение должно соответствовать этическим нормам, рекомендованным ВОЗ, и осуществляться на основании Федерального закона от 21 ноября 2011 г. № 323-ФЗ «Об основах охраны здоровья граждан в Российской Федерации», Федерального закона от 12 апреля 2010 г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. № 61-ФЗ «Об обращении лекарственных средств», Национального стандарта Российской Федерации ГОСТ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ИСО 14155-2014 «Надлежащая клиническая практика», приказа Министерства здравоохранения Российской Федерации от 1 апреля 2016 г. № 200н «Об утверждении правил надлежащей клинической практики» (зарегистрирован Министерством юстиции Российской Федерации 23 августа 2016 г., регистрационный № 43357), Хельсинкской декларации Всемирной медицинской ассоциации (ВМА) об этических принципах проведения исследований с участием человека в качестве субъекта, </w:t>
      </w:r>
      <w:proofErr w:type="gramStart"/>
      <w:r w:rsidRPr="009C10C8">
        <w:rPr>
          <w:rFonts w:ascii="Times New Roman" w:hAnsi="Times New Roman" w:cs="Times New Roman"/>
          <w:color w:val="000000" w:themeColor="text1"/>
        </w:rPr>
        <w:t>декларированных</w:t>
      </w:r>
      <w:proofErr w:type="gramEnd"/>
      <w:r w:rsidRPr="009C10C8">
        <w:rPr>
          <w:rFonts w:ascii="Times New Roman" w:hAnsi="Times New Roman" w:cs="Times New Roman"/>
          <w:color w:val="000000" w:themeColor="text1"/>
        </w:rPr>
        <w:t xml:space="preserve"> на 64-ой Генеральной ассамблее ВМА,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Форталеза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, Бразилия, 2013 год. Вышеуказанная практика оценки целесообразности применения лекарственных препаратов вне показаний, указанных в инструкции по медицинскому применению, является общепризнанной в мире. </w:t>
      </w:r>
    </w:p>
    <w:p w:rsidR="009C10C8" w:rsidRPr="009C10C8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C10C8">
        <w:rPr>
          <w:rFonts w:ascii="Times New Roman" w:hAnsi="Times New Roman" w:cs="Times New Roman"/>
          <w:color w:val="000000" w:themeColor="text1"/>
        </w:rPr>
        <w:t xml:space="preserve">В текущих условиях распространения новой 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коронавирусной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 xml:space="preserve"> инфекции COVID-19 и ограниченности доказательной базы по лечению COVID-19, использование препаратов в режиме «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off-label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» для оказания медицинской помощи пациентам с COVID-19 базируется на международных рекомендациях, а также согласованных экспертных мнениях, основанных на оценке степени пользы и риска при использовании терапии в режиме «</w:t>
      </w:r>
      <w:proofErr w:type="spellStart"/>
      <w:r w:rsidRPr="009C10C8">
        <w:rPr>
          <w:rFonts w:ascii="Times New Roman" w:hAnsi="Times New Roman" w:cs="Times New Roman"/>
          <w:color w:val="000000" w:themeColor="text1"/>
        </w:rPr>
        <w:t>off-label</w:t>
      </w:r>
      <w:proofErr w:type="spellEnd"/>
      <w:r w:rsidRPr="009C10C8">
        <w:rPr>
          <w:rFonts w:ascii="Times New Roman" w:hAnsi="Times New Roman" w:cs="Times New Roman"/>
          <w:color w:val="000000" w:themeColor="text1"/>
        </w:rPr>
        <w:t>».</w:t>
      </w: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C10C8" w:rsidRPr="009C10C8" w:rsidRDefault="009C10C8" w:rsidP="009C10C8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9C10C8" w:rsidRPr="006A633E" w:rsidRDefault="006A633E" w:rsidP="006A633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6A633E">
        <w:rPr>
          <w:rFonts w:ascii="Times New Roman" w:hAnsi="Times New Roman" w:cs="Times New Roman"/>
          <w:b/>
          <w:color w:val="000000" w:themeColor="text1"/>
        </w:rPr>
        <w:lastRenderedPageBreak/>
        <w:t>СПИСОК ИСПОЛЬЗУЕМОЙ ЛИТЕРАТУРЫ</w:t>
      </w:r>
    </w:p>
    <w:p w:rsidR="006A633E" w:rsidRPr="006A633E" w:rsidRDefault="006A633E" w:rsidP="006A633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A633E">
        <w:rPr>
          <w:rFonts w:ascii="Times New Roman" w:hAnsi="Times New Roman" w:cs="Times New Roman"/>
          <w:color w:val="000000" w:themeColor="text1"/>
        </w:rPr>
        <w:t>Клинические рекомендации Острые респираторные вирусные инфекции (ОРВИ) у взрослых 2021 Г</w:t>
      </w:r>
    </w:p>
    <w:p w:rsidR="006A633E" w:rsidRPr="006A633E" w:rsidRDefault="006A633E" w:rsidP="006A633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A633E">
        <w:rPr>
          <w:rFonts w:ascii="Times New Roman" w:hAnsi="Times New Roman" w:cs="Times New Roman"/>
          <w:color w:val="000000" w:themeColor="text1"/>
        </w:rPr>
        <w:t xml:space="preserve">Клинические рекомендации ПРОФИЛАКТИКА, ДИАГНОСТИКА И ЛЕЧЕНИЕ НОВОЙ КОРОНАВИРУСНОЙ ИНФЕКЦИИ (COVID-19) </w:t>
      </w:r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>Версия 17 (09.12.2022)</w:t>
      </w:r>
    </w:p>
    <w:p w:rsidR="006A633E" w:rsidRPr="006A633E" w:rsidRDefault="006A633E" w:rsidP="006A633E">
      <w:pPr>
        <w:pStyle w:val="ab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6A633E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Инфекционные болезни</w:t>
      </w:r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> : </w:t>
      </w:r>
      <w:r w:rsidRPr="006A633E">
        <w:rPr>
          <w:rStyle w:val="ac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учебник</w:t>
      </w:r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/ под ред. Н.Д. </w:t>
      </w:r>
      <w:proofErr w:type="spellStart"/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>Ющука</w:t>
      </w:r>
      <w:proofErr w:type="spellEnd"/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Ю.Я. Венгерова. - 2-е изд., </w:t>
      </w:r>
      <w:proofErr w:type="spellStart"/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>перераб</w:t>
      </w:r>
      <w:proofErr w:type="spellEnd"/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>. и доп. - М. : ГЭОТА</w:t>
      </w:r>
      <w:proofErr w:type="gramStart"/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>Р-</w:t>
      </w:r>
      <w:proofErr w:type="gramEnd"/>
      <w:r w:rsidRPr="006A633E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Медиа,. 2011. - 704 с. Второе издание</w:t>
      </w: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6A633E" w:rsidRDefault="006A633E" w:rsidP="006A633E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Карина\Desktop\ординатура\ре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esktop\ординатура\реценз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D82BD1" w:rsidRDefault="00D82BD1" w:rsidP="000629EF">
      <w:pPr>
        <w:pStyle w:val="11"/>
        <w:spacing w:line="276" w:lineRule="auto"/>
        <w:rPr>
          <w:sz w:val="22"/>
          <w:szCs w:val="22"/>
        </w:rPr>
      </w:pPr>
    </w:p>
    <w:p w:rsidR="000629EF" w:rsidRPr="000629EF" w:rsidRDefault="000629EF" w:rsidP="000629EF">
      <w:pPr>
        <w:pStyle w:val="11"/>
        <w:spacing w:line="276" w:lineRule="auto"/>
        <w:rPr>
          <w:sz w:val="22"/>
          <w:szCs w:val="22"/>
        </w:rPr>
      </w:pPr>
      <w:r w:rsidRPr="000629EF">
        <w:rPr>
          <w:sz w:val="22"/>
          <w:szCs w:val="22"/>
        </w:rPr>
        <w:t>РЕЦЕНЗИЯ НА РЕФЕРАТ</w:t>
      </w:r>
    </w:p>
    <w:p w:rsidR="000629EF" w:rsidRPr="00D82BD1" w:rsidRDefault="000629EF" w:rsidP="006A633E">
      <w:pPr>
        <w:pStyle w:val="11"/>
        <w:spacing w:line="276" w:lineRule="auto"/>
        <w:rPr>
          <w:b w:val="0"/>
          <w:sz w:val="24"/>
          <w:szCs w:val="24"/>
        </w:rPr>
      </w:pPr>
    </w:p>
    <w:p w:rsidR="006A633E" w:rsidRPr="000629EF" w:rsidRDefault="006A633E" w:rsidP="006A633E">
      <w:pPr>
        <w:pStyle w:val="11"/>
        <w:spacing w:line="276" w:lineRule="auto"/>
        <w:rPr>
          <w:b w:val="0"/>
          <w:sz w:val="22"/>
          <w:szCs w:val="22"/>
        </w:rPr>
      </w:pPr>
      <w:r w:rsidRPr="000629EF">
        <w:rPr>
          <w:b w:val="0"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6A633E" w:rsidRPr="000629EF" w:rsidRDefault="006A633E" w:rsidP="006A633E">
      <w:pPr>
        <w:pStyle w:val="11"/>
        <w:spacing w:line="276" w:lineRule="auto"/>
        <w:rPr>
          <w:b w:val="0"/>
          <w:sz w:val="22"/>
          <w:szCs w:val="22"/>
        </w:rPr>
      </w:pPr>
      <w:r w:rsidRPr="000629EF">
        <w:rPr>
          <w:b w:val="0"/>
          <w:sz w:val="22"/>
          <w:szCs w:val="22"/>
        </w:rPr>
        <w:t xml:space="preserve">"Красноярский государственный медицинский университет имени профессора В.Ф. </w:t>
      </w:r>
      <w:proofErr w:type="spellStart"/>
      <w:r w:rsidRPr="000629EF">
        <w:rPr>
          <w:b w:val="0"/>
          <w:sz w:val="22"/>
          <w:szCs w:val="22"/>
        </w:rPr>
        <w:t>Войно-Ясенецкого</w:t>
      </w:r>
      <w:proofErr w:type="spellEnd"/>
      <w:r w:rsidRPr="000629EF">
        <w:rPr>
          <w:b w:val="0"/>
          <w:sz w:val="22"/>
          <w:szCs w:val="22"/>
        </w:rPr>
        <w:t>" Министерства здравоохранения Российской Федерации</w:t>
      </w:r>
    </w:p>
    <w:p w:rsidR="006A633E" w:rsidRPr="000629EF" w:rsidRDefault="006A633E" w:rsidP="006A633E">
      <w:pPr>
        <w:pStyle w:val="11"/>
        <w:spacing w:line="276" w:lineRule="auto"/>
        <w:rPr>
          <w:b w:val="0"/>
          <w:sz w:val="22"/>
          <w:szCs w:val="22"/>
          <w:shd w:val="clear" w:color="auto" w:fill="FFFFFF"/>
        </w:rPr>
      </w:pPr>
    </w:p>
    <w:p w:rsidR="006A633E" w:rsidRPr="000629EF" w:rsidRDefault="006A633E" w:rsidP="006A633E">
      <w:pPr>
        <w:pStyle w:val="11"/>
        <w:spacing w:line="276" w:lineRule="auto"/>
        <w:rPr>
          <w:b w:val="0"/>
          <w:sz w:val="22"/>
          <w:szCs w:val="22"/>
          <w:shd w:val="clear" w:color="auto" w:fill="FFFFFF"/>
        </w:rPr>
      </w:pPr>
      <w:r w:rsidRPr="000629EF">
        <w:rPr>
          <w:b w:val="0"/>
          <w:sz w:val="22"/>
          <w:szCs w:val="22"/>
          <w:shd w:val="clear" w:color="auto" w:fill="FFFFFF"/>
        </w:rPr>
        <w:t>Институт последипломного образования</w:t>
      </w:r>
    </w:p>
    <w:p w:rsidR="006A633E" w:rsidRPr="000629EF" w:rsidRDefault="006A633E" w:rsidP="006A633E">
      <w:pPr>
        <w:pStyle w:val="11"/>
        <w:spacing w:line="276" w:lineRule="auto"/>
        <w:rPr>
          <w:b w:val="0"/>
          <w:sz w:val="22"/>
          <w:szCs w:val="22"/>
          <w:shd w:val="clear" w:color="auto" w:fill="FFFFFF"/>
        </w:rPr>
      </w:pPr>
    </w:p>
    <w:p w:rsidR="006A633E" w:rsidRPr="000629EF" w:rsidRDefault="006A633E" w:rsidP="006A633E">
      <w:pPr>
        <w:pStyle w:val="11"/>
        <w:spacing w:line="276" w:lineRule="auto"/>
        <w:rPr>
          <w:b w:val="0"/>
          <w:sz w:val="22"/>
          <w:szCs w:val="22"/>
          <w:shd w:val="clear" w:color="auto" w:fill="FFFFFF"/>
        </w:rPr>
      </w:pPr>
      <w:r w:rsidRPr="000629EF">
        <w:rPr>
          <w:b w:val="0"/>
          <w:sz w:val="22"/>
          <w:szCs w:val="22"/>
          <w:shd w:val="clear" w:color="auto" w:fill="FFFFFF"/>
        </w:rPr>
        <w:t xml:space="preserve">Кафедра инфекционных болезней и эпидемиологии с курсом </w:t>
      </w:r>
      <w:proofErr w:type="gramStart"/>
      <w:r w:rsidRPr="000629EF">
        <w:rPr>
          <w:b w:val="0"/>
          <w:sz w:val="22"/>
          <w:szCs w:val="22"/>
          <w:shd w:val="clear" w:color="auto" w:fill="FFFFFF"/>
        </w:rPr>
        <w:t>ПО</w:t>
      </w:r>
      <w:proofErr w:type="gramEnd"/>
    </w:p>
    <w:p w:rsidR="006A633E" w:rsidRPr="000629EF" w:rsidRDefault="006A633E" w:rsidP="006A633E">
      <w:pPr>
        <w:pStyle w:val="11"/>
        <w:spacing w:line="276" w:lineRule="auto"/>
        <w:rPr>
          <w:b w:val="0"/>
          <w:sz w:val="22"/>
          <w:szCs w:val="22"/>
          <w:shd w:val="clear" w:color="auto" w:fill="FFFFFF"/>
        </w:rPr>
      </w:pPr>
    </w:p>
    <w:p w:rsidR="006A633E" w:rsidRPr="000629EF" w:rsidRDefault="006A633E" w:rsidP="006A633E">
      <w:pPr>
        <w:pStyle w:val="11"/>
        <w:spacing w:line="276" w:lineRule="auto"/>
        <w:rPr>
          <w:b w:val="0"/>
          <w:sz w:val="22"/>
          <w:szCs w:val="22"/>
          <w:shd w:val="clear" w:color="auto" w:fill="FFFFFF"/>
        </w:rPr>
      </w:pPr>
      <w:r w:rsidRPr="000629EF">
        <w:rPr>
          <w:b w:val="0"/>
          <w:sz w:val="22"/>
          <w:szCs w:val="22"/>
          <w:shd w:val="clear" w:color="auto" w:fill="FFFFFF"/>
        </w:rPr>
        <w:t xml:space="preserve">Рецензия КМН, доцента кафедры инфекционных болезней и эпидемиологии с курсом ПО Кузьминой Татьяны Юрьевны на реферат ординатора 1 года обучения специальности «Инфекционные болезни» </w:t>
      </w:r>
      <w:proofErr w:type="spellStart"/>
      <w:r w:rsidRPr="000629EF">
        <w:rPr>
          <w:b w:val="0"/>
          <w:sz w:val="22"/>
          <w:szCs w:val="22"/>
          <w:shd w:val="clear" w:color="auto" w:fill="FFFFFF"/>
        </w:rPr>
        <w:t>Хайтметовой</w:t>
      </w:r>
      <w:proofErr w:type="spellEnd"/>
      <w:r w:rsidRPr="000629EF">
        <w:rPr>
          <w:b w:val="0"/>
          <w:sz w:val="22"/>
          <w:szCs w:val="22"/>
          <w:shd w:val="clear" w:color="auto" w:fill="FFFFFF"/>
        </w:rPr>
        <w:t xml:space="preserve"> Карины Артуровны</w:t>
      </w:r>
    </w:p>
    <w:p w:rsidR="006A633E" w:rsidRPr="000629EF" w:rsidRDefault="006A633E" w:rsidP="000629EF">
      <w:pPr>
        <w:pStyle w:val="a5"/>
        <w:spacing w:before="262" w:line="360" w:lineRule="auto"/>
        <w:rPr>
          <w:b w:val="0"/>
          <w:color w:val="000000" w:themeColor="text1"/>
          <w:sz w:val="22"/>
          <w:szCs w:val="22"/>
        </w:rPr>
      </w:pPr>
      <w:r w:rsidRPr="000629EF">
        <w:rPr>
          <w:b w:val="0"/>
          <w:sz w:val="22"/>
          <w:szCs w:val="22"/>
          <w:shd w:val="clear" w:color="auto" w:fill="FFFFFF"/>
        </w:rPr>
        <w:t xml:space="preserve">По теме: </w:t>
      </w:r>
      <w:r w:rsidR="000629EF" w:rsidRPr="000629EF">
        <w:rPr>
          <w:b w:val="0"/>
          <w:color w:val="000000" w:themeColor="text1"/>
          <w:sz w:val="22"/>
          <w:szCs w:val="22"/>
        </w:rPr>
        <w:t xml:space="preserve">Дифференциальная диагностика острых респираторных вирусных инфекций и </w:t>
      </w:r>
      <w:r w:rsidR="000629EF" w:rsidRPr="000629EF">
        <w:rPr>
          <w:b w:val="0"/>
          <w:color w:val="000000" w:themeColor="text1"/>
          <w:sz w:val="22"/>
          <w:szCs w:val="22"/>
          <w:lang w:val="en-US"/>
        </w:rPr>
        <w:t>COVID</w:t>
      </w:r>
      <w:r w:rsidR="000629EF" w:rsidRPr="000629EF">
        <w:rPr>
          <w:b w:val="0"/>
          <w:color w:val="000000" w:themeColor="text1"/>
          <w:sz w:val="22"/>
          <w:szCs w:val="22"/>
        </w:rPr>
        <w:t>-19</w:t>
      </w:r>
    </w:p>
    <w:p w:rsidR="006A633E" w:rsidRPr="000629EF" w:rsidRDefault="006A633E" w:rsidP="006A633E">
      <w:pPr>
        <w:pStyle w:val="11"/>
        <w:spacing w:line="276" w:lineRule="auto"/>
        <w:jc w:val="left"/>
        <w:rPr>
          <w:b w:val="0"/>
          <w:sz w:val="22"/>
          <w:szCs w:val="22"/>
          <w:shd w:val="clear" w:color="auto" w:fill="FFFFF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0629EF">
              <w:rPr>
                <w:bCs/>
                <w:sz w:val="22"/>
                <w:szCs w:val="22"/>
                <w:shd w:val="clear" w:color="auto" w:fill="FFFFFF"/>
              </w:rPr>
              <w:t>Оценочный критерий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Cs/>
                <w:sz w:val="22"/>
                <w:szCs w:val="22"/>
                <w:shd w:val="clear" w:color="auto" w:fill="FFFFFF"/>
              </w:rPr>
            </w:pPr>
            <w:r w:rsidRPr="000629EF">
              <w:rPr>
                <w:bCs/>
                <w:sz w:val="22"/>
                <w:szCs w:val="22"/>
                <w:shd w:val="clear" w:color="auto" w:fill="FFFFFF"/>
              </w:rPr>
              <w:t>Положительный/отрицательный</w:t>
            </w: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Структурированность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Наличие орфографических ошибок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Соответствие текста реферата по теме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Владение терминологией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Полнота и глубина раскрытия основных понятий темы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Логичность доказательной базы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Умение аргументировать основные положения и выводы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Круг использования известных научных источников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Умение сделать общий вывод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  <w:tr w:rsidR="006A633E" w:rsidRPr="000629EF" w:rsidTr="00644B93">
        <w:tc>
          <w:tcPr>
            <w:tcW w:w="4672" w:type="dxa"/>
          </w:tcPr>
          <w:p w:rsidR="006A633E" w:rsidRPr="000629EF" w:rsidRDefault="006A633E" w:rsidP="00644B93">
            <w:pPr>
              <w:pStyle w:val="11"/>
              <w:spacing w:line="360" w:lineRule="auto"/>
              <w:jc w:val="left"/>
              <w:rPr>
                <w:b w:val="0"/>
                <w:sz w:val="22"/>
                <w:szCs w:val="22"/>
                <w:shd w:val="clear" w:color="auto" w:fill="FFFFFF"/>
              </w:rPr>
            </w:pPr>
            <w:r w:rsidRPr="000629EF">
              <w:rPr>
                <w:b w:val="0"/>
                <w:sz w:val="22"/>
                <w:szCs w:val="22"/>
                <w:shd w:val="clear" w:color="auto" w:fill="FFFFFF"/>
              </w:rPr>
              <w:t>Актуальность</w:t>
            </w:r>
          </w:p>
        </w:tc>
        <w:tc>
          <w:tcPr>
            <w:tcW w:w="4673" w:type="dxa"/>
          </w:tcPr>
          <w:p w:rsidR="006A633E" w:rsidRPr="000629EF" w:rsidRDefault="006A633E" w:rsidP="00644B93">
            <w:pPr>
              <w:pStyle w:val="11"/>
              <w:spacing w:line="276" w:lineRule="auto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</w:tr>
    </w:tbl>
    <w:p w:rsidR="006A633E" w:rsidRPr="000629EF" w:rsidRDefault="006A633E" w:rsidP="006A633E"/>
    <w:p w:rsidR="006A633E" w:rsidRPr="000629EF" w:rsidRDefault="006A633E" w:rsidP="006A633E">
      <w:pPr>
        <w:rPr>
          <w:rFonts w:ascii="Times New Roman" w:hAnsi="Times New Roman" w:cs="Times New Roman"/>
        </w:rPr>
      </w:pPr>
      <w:r w:rsidRPr="000629EF">
        <w:rPr>
          <w:rFonts w:ascii="Times New Roman" w:hAnsi="Times New Roman" w:cs="Times New Roman"/>
        </w:rPr>
        <w:t xml:space="preserve">Итоговая оценка: положительная/отрицательная                        </w:t>
      </w:r>
    </w:p>
    <w:p w:rsidR="006A633E" w:rsidRPr="000629EF" w:rsidRDefault="006A633E" w:rsidP="006A633E">
      <w:pPr>
        <w:rPr>
          <w:rFonts w:ascii="Times New Roman" w:hAnsi="Times New Roman" w:cs="Times New Roman"/>
        </w:rPr>
      </w:pPr>
      <w:r w:rsidRPr="000629EF">
        <w:rPr>
          <w:rFonts w:ascii="Times New Roman" w:hAnsi="Times New Roman" w:cs="Times New Roman"/>
        </w:rPr>
        <w:t xml:space="preserve">Комментарий рецензента                                                                          Дата: 25.09.2023                                                </w:t>
      </w:r>
    </w:p>
    <w:p w:rsidR="006A633E" w:rsidRPr="000629EF" w:rsidRDefault="006A633E" w:rsidP="006A633E">
      <w:pPr>
        <w:rPr>
          <w:rFonts w:ascii="Times New Roman" w:hAnsi="Times New Roman" w:cs="Times New Roman"/>
        </w:rPr>
      </w:pPr>
      <w:r w:rsidRPr="000629EF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 рецензента</w:t>
      </w:r>
    </w:p>
    <w:p w:rsidR="009C10C8" w:rsidRPr="000629EF" w:rsidRDefault="006A633E" w:rsidP="006A633E">
      <w:pPr>
        <w:rPr>
          <w:rFonts w:ascii="Times New Roman" w:hAnsi="Times New Roman" w:cs="Times New Roman"/>
        </w:rPr>
      </w:pPr>
      <w:r w:rsidRPr="000629EF">
        <w:rPr>
          <w:rFonts w:ascii="Times New Roman" w:hAnsi="Times New Roman" w:cs="Times New Roman"/>
        </w:rPr>
        <w:t xml:space="preserve">                                                                                                    Подпись ординатора</w:t>
      </w:r>
    </w:p>
    <w:sectPr w:rsidR="009C10C8" w:rsidRPr="000629EF" w:rsidSect="00647515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7E" w:rsidRDefault="00F3107E" w:rsidP="00647515">
      <w:pPr>
        <w:spacing w:after="0" w:line="240" w:lineRule="auto"/>
      </w:pPr>
      <w:r>
        <w:separator/>
      </w:r>
    </w:p>
  </w:endnote>
  <w:endnote w:type="continuationSeparator" w:id="0">
    <w:p w:rsidR="00F3107E" w:rsidRDefault="00F3107E" w:rsidP="0064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598552"/>
      <w:docPartObj>
        <w:docPartGallery w:val="Page Numbers (Bottom of Page)"/>
        <w:docPartUnique/>
      </w:docPartObj>
    </w:sdtPr>
    <w:sdtEndPr/>
    <w:sdtContent>
      <w:p w:rsidR="00647515" w:rsidRDefault="0064751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BD1">
          <w:rPr>
            <w:noProof/>
          </w:rPr>
          <w:t>9</w:t>
        </w:r>
        <w:r>
          <w:fldChar w:fldCharType="end"/>
        </w:r>
      </w:p>
    </w:sdtContent>
  </w:sdt>
  <w:p w:rsidR="00647515" w:rsidRDefault="006475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7E" w:rsidRDefault="00F3107E" w:rsidP="00647515">
      <w:pPr>
        <w:spacing w:after="0" w:line="240" w:lineRule="auto"/>
      </w:pPr>
      <w:r>
        <w:separator/>
      </w:r>
    </w:p>
  </w:footnote>
  <w:footnote w:type="continuationSeparator" w:id="0">
    <w:p w:rsidR="00F3107E" w:rsidRDefault="00F3107E" w:rsidP="00647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E2E"/>
    <w:multiLevelType w:val="hybridMultilevel"/>
    <w:tmpl w:val="4F5E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50"/>
    <w:rsid w:val="000629EF"/>
    <w:rsid w:val="003C4033"/>
    <w:rsid w:val="00647515"/>
    <w:rsid w:val="006A633E"/>
    <w:rsid w:val="009C10C8"/>
    <w:rsid w:val="00B003B8"/>
    <w:rsid w:val="00B77817"/>
    <w:rsid w:val="00D82BD1"/>
    <w:rsid w:val="00F3107E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10C8"/>
    <w:pPr>
      <w:widowControl w:val="0"/>
      <w:autoSpaceDE w:val="0"/>
      <w:autoSpaceDN w:val="0"/>
      <w:spacing w:before="72" w:after="0" w:line="240" w:lineRule="auto"/>
      <w:ind w:left="1877" w:right="16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10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C1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10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C10C8"/>
    <w:pPr>
      <w:widowControl w:val="0"/>
      <w:autoSpaceDE w:val="0"/>
      <w:autoSpaceDN w:val="0"/>
      <w:spacing w:after="0" w:line="240" w:lineRule="auto"/>
      <w:ind w:left="1877" w:right="16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C10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64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515"/>
  </w:style>
  <w:style w:type="paragraph" w:styleId="a9">
    <w:name w:val="footer"/>
    <w:basedOn w:val="a"/>
    <w:link w:val="aa"/>
    <w:uiPriority w:val="99"/>
    <w:unhideWhenUsed/>
    <w:rsid w:val="0064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15"/>
  </w:style>
  <w:style w:type="paragraph" w:styleId="ab">
    <w:name w:val="List Paragraph"/>
    <w:basedOn w:val="a"/>
    <w:uiPriority w:val="34"/>
    <w:qFormat/>
    <w:rsid w:val="006A633E"/>
    <w:pPr>
      <w:ind w:left="720"/>
      <w:contextualSpacing/>
    </w:pPr>
  </w:style>
  <w:style w:type="character" w:styleId="ac">
    <w:name w:val="Emphasis"/>
    <w:basedOn w:val="a0"/>
    <w:uiPriority w:val="20"/>
    <w:qFormat/>
    <w:rsid w:val="006A633E"/>
    <w:rPr>
      <w:i/>
      <w:iCs/>
    </w:rPr>
  </w:style>
  <w:style w:type="paragraph" w:customStyle="1" w:styleId="11">
    <w:name w:val="Заголовок1"/>
    <w:basedOn w:val="a"/>
    <w:rsid w:val="006A63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d">
    <w:name w:val="Table Grid"/>
    <w:basedOn w:val="a1"/>
    <w:uiPriority w:val="39"/>
    <w:rsid w:val="006A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C10C8"/>
    <w:pPr>
      <w:widowControl w:val="0"/>
      <w:autoSpaceDE w:val="0"/>
      <w:autoSpaceDN w:val="0"/>
      <w:spacing w:before="72" w:after="0" w:line="240" w:lineRule="auto"/>
      <w:ind w:left="1877" w:right="163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C10C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C10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C10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9C10C8"/>
    <w:pPr>
      <w:widowControl w:val="0"/>
      <w:autoSpaceDE w:val="0"/>
      <w:autoSpaceDN w:val="0"/>
      <w:spacing w:after="0" w:line="240" w:lineRule="auto"/>
      <w:ind w:left="1877" w:right="1625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9C10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unhideWhenUsed/>
    <w:rsid w:val="0064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515"/>
  </w:style>
  <w:style w:type="paragraph" w:styleId="a9">
    <w:name w:val="footer"/>
    <w:basedOn w:val="a"/>
    <w:link w:val="aa"/>
    <w:uiPriority w:val="99"/>
    <w:unhideWhenUsed/>
    <w:rsid w:val="00647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515"/>
  </w:style>
  <w:style w:type="paragraph" w:styleId="ab">
    <w:name w:val="List Paragraph"/>
    <w:basedOn w:val="a"/>
    <w:uiPriority w:val="34"/>
    <w:qFormat/>
    <w:rsid w:val="006A633E"/>
    <w:pPr>
      <w:ind w:left="720"/>
      <w:contextualSpacing/>
    </w:pPr>
  </w:style>
  <w:style w:type="character" w:styleId="ac">
    <w:name w:val="Emphasis"/>
    <w:basedOn w:val="a0"/>
    <w:uiPriority w:val="20"/>
    <w:qFormat/>
    <w:rsid w:val="006A633E"/>
    <w:rPr>
      <w:i/>
      <w:iCs/>
    </w:rPr>
  </w:style>
  <w:style w:type="paragraph" w:customStyle="1" w:styleId="11">
    <w:name w:val="Заголовок1"/>
    <w:basedOn w:val="a"/>
    <w:rsid w:val="006A63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d">
    <w:name w:val="Table Grid"/>
    <w:basedOn w:val="a1"/>
    <w:uiPriority w:val="39"/>
    <w:rsid w:val="006A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D8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EF2E-41CE-4753-9689-07BA1F0E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5</cp:revision>
  <dcterms:created xsi:type="dcterms:W3CDTF">2023-09-24T04:31:00Z</dcterms:created>
  <dcterms:modified xsi:type="dcterms:W3CDTF">2023-10-31T14:42:00Z</dcterms:modified>
</cp:coreProperties>
</file>