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C7" w:rsidRDefault="00C70701">
      <w:pPr>
        <w:pStyle w:val="2"/>
        <w:widowControl w:val="0"/>
        <w:spacing w:before="74" w:after="0"/>
        <w:ind w:left="0" w:right="60"/>
        <w:rPr>
          <w:rFonts w:ascii="Times New Roman" w:hAnsi="Times New Roman"/>
          <w:color w:val="000000"/>
        </w:rPr>
      </w:pPr>
      <w:bookmarkStart w:id="0" w:name="_Toc405934422"/>
      <w:r>
        <w:rPr>
          <w:rFonts w:ascii="Times New Roman" w:hAnsi="Times New Roman"/>
          <w:color w:val="000000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  <w:bookmarkEnd w:id="0"/>
    </w:p>
    <w:p w:rsidR="001665C7" w:rsidRDefault="00C70701">
      <w:pPr>
        <w:widowControl w:val="0"/>
        <w:spacing w:before="1" w:after="0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Войно-Ясенецкого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»</w:t>
      </w:r>
    </w:p>
    <w:p w:rsidR="001665C7" w:rsidRDefault="00C70701">
      <w:pPr>
        <w:widowControl w:val="0"/>
        <w:spacing w:after="0" w:line="318" w:lineRule="exact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Министерства здравоохранения Российской Федерации</w:t>
      </w:r>
    </w:p>
    <w:p w:rsidR="001665C7" w:rsidRDefault="00C70701">
      <w:pPr>
        <w:widowControl w:val="0"/>
        <w:spacing w:before="3" w:after="0"/>
        <w:ind w:right="6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(ФГБОУ ВО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КрасГМУ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им.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проф. В.Ф.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Войно-Ясенецкого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Минздрава России)</w:t>
      </w:r>
    </w:p>
    <w:p w:rsidR="001665C7" w:rsidRDefault="001665C7">
      <w:pPr>
        <w:pStyle w:val="a3"/>
        <w:widowControl w:val="0"/>
        <w:spacing w:before="8" w:after="0"/>
        <w:ind w:left="-570"/>
        <w:rPr>
          <w:rFonts w:ascii="Times New Roman" w:hAnsi="Times New Roman"/>
          <w:color w:val="000000"/>
          <w:sz w:val="38"/>
        </w:rPr>
      </w:pPr>
    </w:p>
    <w:p w:rsidR="001665C7" w:rsidRDefault="00C70701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</w:t>
      </w: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before="1" w:after="0"/>
        <w:ind w:left="-570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before="7" w:after="0"/>
        <w:ind w:left="-570"/>
        <w:rPr>
          <w:rFonts w:ascii="Times New Roman" w:hAnsi="Times New Roman"/>
          <w:color w:val="000000"/>
          <w:sz w:val="28"/>
        </w:rPr>
      </w:pPr>
    </w:p>
    <w:p w:rsidR="001665C7" w:rsidRDefault="00C70701">
      <w:pPr>
        <w:pStyle w:val="3"/>
        <w:widowControl w:val="0"/>
        <w:spacing w:after="0" w:line="343" w:lineRule="auto"/>
        <w:ind w:left="0" w:right="60"/>
        <w:jc w:val="center"/>
        <w:rPr>
          <w:rFonts w:ascii="Times New Roman" w:hAnsi="Times New Roman"/>
          <w:b w:val="0"/>
          <w:color w:val="000000"/>
          <w:sz w:val="28"/>
        </w:rPr>
      </w:pPr>
      <w:bookmarkStart w:id="1" w:name="_Toc403352934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РЕФЕРАТ</w:t>
      </w:r>
      <w:bookmarkEnd w:id="1"/>
    </w:p>
    <w:p w:rsidR="001665C7" w:rsidRDefault="00C70701">
      <w:pPr>
        <w:pStyle w:val="3"/>
        <w:widowControl w:val="0"/>
        <w:spacing w:after="0" w:line="343" w:lineRule="auto"/>
        <w:ind w:left="0" w:right="60"/>
        <w:jc w:val="center"/>
        <w:rPr>
          <w:rFonts w:ascii="Times New Roman" w:hAnsi="Times New Roman"/>
          <w:b w:val="0"/>
          <w:color w:val="000000"/>
          <w:sz w:val="28"/>
        </w:rPr>
      </w:pPr>
      <w:bookmarkStart w:id="2" w:name="_Toc395620402"/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"</w:t>
      </w:r>
      <w:r w:rsidR="00730F72">
        <w:rPr>
          <w:rFonts w:ascii="Times New Roman" w:hAnsi="Times New Roman"/>
          <w:b w:val="0"/>
          <w:color w:val="000000"/>
          <w:sz w:val="28"/>
          <w:shd w:val="clear" w:color="auto" w:fill="FFFFFF"/>
        </w:rPr>
        <w:t>АБДОМИНАЛЬНЫЙ КОМПАРТМЕНТ</w:t>
      </w:r>
      <w:r w:rsidR="006F3FBB">
        <w:rPr>
          <w:rFonts w:ascii="Times New Roman" w:hAnsi="Times New Roman"/>
          <w:b w:val="0"/>
          <w:color w:val="000000"/>
          <w:sz w:val="28"/>
          <w:shd w:val="clear" w:color="auto" w:fill="FFFFFF"/>
        </w:rPr>
        <w:t>-</w:t>
      </w:r>
      <w:r w:rsidR="00730F72">
        <w:rPr>
          <w:rFonts w:ascii="Times New Roman" w:hAnsi="Times New Roman"/>
          <w:b w:val="0"/>
          <w:color w:val="000000"/>
          <w:sz w:val="28"/>
          <w:shd w:val="clear" w:color="auto" w:fill="FFFFFF"/>
        </w:rPr>
        <w:t>СИНДРОМ</w:t>
      </w:r>
      <w:r>
        <w:rPr>
          <w:rFonts w:ascii="Times New Roman" w:hAnsi="Times New Roman"/>
          <w:b w:val="0"/>
          <w:color w:val="000000"/>
          <w:sz w:val="28"/>
          <w:shd w:val="clear" w:color="auto" w:fill="FFFFFF"/>
        </w:rPr>
        <w:t>"</w:t>
      </w:r>
      <w:bookmarkEnd w:id="2"/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 w:rsidR="001665C7" w:rsidRDefault="00C70701">
      <w:pPr>
        <w:pStyle w:val="a3"/>
        <w:widowControl w:val="0"/>
        <w:spacing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Выполнил ординатор</w:t>
      </w:r>
    </w:p>
    <w:p w:rsidR="001665C7" w:rsidRDefault="00C70701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кафедры госпитальной хирургии имени профессора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А.М.Дыхно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 курсом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ПО</w:t>
      </w:r>
      <w:proofErr w:type="gramEnd"/>
    </w:p>
    <w:p w:rsidR="001665C7" w:rsidRDefault="00C70701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специальности "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Колопроктология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"</w:t>
      </w:r>
    </w:p>
    <w:p w:rsidR="001665C7" w:rsidRDefault="00C70701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Юзефович Николай Александрович</w:t>
      </w:r>
    </w:p>
    <w:p w:rsidR="001665C7" w:rsidRDefault="001665C7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 w:rsidR="001665C7" w:rsidRDefault="001665C7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8"/>
        </w:rPr>
      </w:pPr>
    </w:p>
    <w:p w:rsidR="001665C7" w:rsidRDefault="00C70701">
      <w:pPr>
        <w:pStyle w:val="a3"/>
        <w:widowControl w:val="0"/>
        <w:spacing w:before="9" w:after="0"/>
        <w:ind w:left="-570"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Проверила: ДМН, профессор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>Первова Ольга Владимировна</w:t>
      </w: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after="0"/>
        <w:ind w:left="-570"/>
        <w:rPr>
          <w:rFonts w:ascii="Times New Roman" w:hAnsi="Times New Roman"/>
          <w:color w:val="000000"/>
          <w:sz w:val="26"/>
        </w:rPr>
      </w:pPr>
    </w:p>
    <w:p w:rsidR="001665C7" w:rsidRDefault="001665C7">
      <w:pPr>
        <w:pStyle w:val="a3"/>
        <w:widowControl w:val="0"/>
        <w:spacing w:before="159" w:after="0"/>
        <w:ind w:left="-570" w:right="856"/>
        <w:jc w:val="center"/>
        <w:rPr>
          <w:rFonts w:ascii="Times New Roman" w:hAnsi="Times New Roman"/>
          <w:color w:val="000000"/>
          <w:sz w:val="28"/>
        </w:rPr>
      </w:pPr>
    </w:p>
    <w:p w:rsidR="001665C7" w:rsidRDefault="00C70701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2023 год</w:t>
      </w:r>
    </w:p>
    <w:p w:rsidR="001665C7" w:rsidRDefault="00C70701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3" w:name="Содержание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Содержание</w:t>
      </w:r>
      <w:bookmarkEnd w:id="3"/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Содержание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Содержание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----------------------------------------------------------------------------------------2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Актуальность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Актуа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л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ьн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о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с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ть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-------------------------------------------------------------------------------------3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Определение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Опреде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л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е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н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ие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-------------------------------3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Исторические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Истор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ческие данные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-------------------------------3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Первые" w:tgtFrame="_top" w:history="1"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К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л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ассиф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ка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ц</w:t>
        </w:r>
        <w:r w:rsidR="00AE67F0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ия</w:t>
        </w:r>
      </w:hyperlink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</w:t>
      </w:r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-------------------------------4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Этиология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Этиология и па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т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оген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ез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-------------------------------5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Клиническая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Клиническая картина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7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Диагностика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Диа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г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н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остика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</w:t>
      </w:r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-------------------------------8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Осложнения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 xml:space="preserve">Осложнения </w:t>
        </w:r>
      </w:hyperlink>
      <w:r w:rsidR="00AE67F0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</w:t>
      </w:r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</w:t>
      </w:r>
      <w:r w:rsidR="006F3FBB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------------------------------9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Лечение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Лечение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---------------------------------------------------------------</w:t>
      </w:r>
      <w:r w:rsidR="006F3FBB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------------------------------9</w:t>
      </w:r>
    </w:p>
    <w:p w:rsidR="001665C7" w:rsidRDefault="006F3FBB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Прогноз" w:history="1">
        <w:r w:rsidRPr="006F3FBB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Прогноз и профил</w:t>
        </w:r>
        <w:r w:rsidRPr="006F3FBB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а</w:t>
        </w:r>
        <w:r w:rsidRPr="006F3FBB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ктика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-</w:t>
      </w:r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------------------------------10</w:t>
      </w:r>
    </w:p>
    <w:p w:rsidR="001665C7" w:rsidRDefault="001665C7">
      <w:pPr>
        <w:rPr>
          <w:rFonts w:ascii="Times New Roman" w:hAnsi="Times New Roman"/>
          <w:i/>
          <w:color w:val="000000"/>
          <w:sz w:val="28"/>
          <w:shd w:val="clear" w:color="auto" w:fill="FFFFFF"/>
        </w:rPr>
      </w:pPr>
      <w:hyperlink w:anchor="Заключение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Заключение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---------------------------------------------------------</w:t>
      </w:r>
      <w:r w:rsidR="006F3FBB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-------------------------------10</w:t>
      </w:r>
    </w:p>
    <w:p w:rsidR="001665C7" w:rsidRDefault="001665C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  <w:hyperlink w:anchor="Список" w:tgtFrame="_top" w:history="1"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Список л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и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т</w:t>
        </w:r>
        <w:r w:rsidR="00C70701">
          <w:rPr>
            <w:rStyle w:val="a4"/>
            <w:rFonts w:ascii="Times New Roman" w:hAnsi="Times New Roman"/>
            <w:i/>
            <w:sz w:val="28"/>
            <w:shd w:val="clear" w:color="auto" w:fill="FFFFFF"/>
          </w:rPr>
          <w:t>ературы</w:t>
        </w:r>
      </w:hyperlink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-----------------------------------------------------</w:t>
      </w:r>
      <w:r w:rsidR="00C70701">
        <w:rPr>
          <w:rFonts w:ascii="Times New Roman" w:hAnsi="Times New Roman"/>
          <w:i/>
          <w:color w:val="000000"/>
          <w:sz w:val="28"/>
          <w:shd w:val="clear" w:color="auto" w:fill="FFFFFF"/>
        </w:rPr>
        <w:t>----------------------</w:t>
      </w:r>
      <w:r w:rsidR="006F3FBB">
        <w:rPr>
          <w:rFonts w:ascii="Times New Roman" w:hAnsi="Times New Roman"/>
          <w:i/>
          <w:color w:val="000000"/>
          <w:sz w:val="28"/>
          <w:shd w:val="clear" w:color="auto" w:fill="FFFFFF"/>
        </w:rPr>
        <w:t>11</w:t>
      </w:r>
    </w:p>
    <w:p w:rsidR="001665C7" w:rsidRDefault="001665C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1665C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1665C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1665C7">
      <w:pPr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730F72" w:rsidRDefault="00730F72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4" w:name="Актуальность"/>
    </w:p>
    <w:p w:rsidR="00AE67F0" w:rsidRDefault="00AE67F0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Актуальность</w:t>
      </w:r>
      <w:bookmarkEnd w:id="4"/>
    </w:p>
    <w:p w:rsidR="001665C7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</w:t>
      </w: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бдоминальный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. Это серьезное, а в ряде случаев и летальное осложнение, развивающееся при тяжелой травме и патологии органов брюшной полости и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забрюшинного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пространства, а также в ряде случаев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экстраабдоминальной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патологии. Вместе с тем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может являться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осложнением ряда хирургических вмешательств, в первую очередь сопровождающихся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ушиванием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лапаротомной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раны с натяжением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тканей.</w:t>
      </w: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5" w:name="Определение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Определение</w:t>
      </w:r>
      <w:bookmarkEnd w:id="5"/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6" w:name="Исторические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Определение и руководящие принципы ИАГ и АКС установлены Всемирным обществом </w:t>
      </w:r>
      <w:proofErr w:type="gram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абдоминального</w:t>
      </w:r>
      <w:proofErr w:type="gram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компартмент-синдрома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(WSACS).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Интраабдоминальное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давление (ИАД) — давление внутри брюшной полости.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В среднем у взрослого человека нормальный уровень ИАД находится в пределах 0–5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рт.ст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., в то время как у тяжелобольных взрослых он обычно составляет 5–7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. ст.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Интраабдоминальная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гипертензия (ИАГ) — постоянное или рецидивирующее патологическое повышение ИАД больше ≥ 12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Абдоминальный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компартмент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синдром (АКС) — </w:t>
      </w:r>
      <w:proofErr w:type="gram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устойчивая</w:t>
      </w:r>
      <w:proofErr w:type="gram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ИАГ (более 20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рт.ст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.), при абдоминальном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перфузионном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давлении (АПД) &lt; 60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. ст., связанная с новой дисфункцией/недостаточностью органов.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Абдоминальное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перфузионное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давление — это разница между средним артериальным давлением (САД) и ИАГ.</w:t>
      </w:r>
    </w:p>
    <w:p w:rsidR="00730F72" w:rsidRPr="00730F72" w:rsidRDefault="00730F72" w:rsidP="00730F72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АПД является индикатором висцеральной перфузии, понятие которой уподобляется церебральному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перфузионному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давлению. WSACS определил </w:t>
      </w:r>
      <w:proofErr w:type="gram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нормальное</w:t>
      </w:r>
      <w:proofErr w:type="gram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АПД на уровне 60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рт.ст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. или выше.</w:t>
      </w:r>
    </w:p>
    <w:p w:rsidR="00730F72" w:rsidRDefault="00730F72" w:rsidP="00730F72">
      <w:pPr>
        <w:ind w:firstLine="72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АПД менее 60 мм </w:t>
      </w:r>
      <w:proofErr w:type="spell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. ст. — надежный индикатор необходимости хирургической декомпрессии, что делает его </w:t>
      </w:r>
      <w:proofErr w:type="gramStart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>полезным</w:t>
      </w:r>
      <w:proofErr w:type="gramEnd"/>
      <w:r w:rsidRPr="00730F72">
        <w:rPr>
          <w:rFonts w:ascii="Times New Roman" w:hAnsi="Times New Roman"/>
          <w:color w:val="000000"/>
          <w:sz w:val="28"/>
          <w:shd w:val="clear" w:color="auto" w:fill="FFFFFF"/>
        </w:rPr>
        <w:t xml:space="preserve"> как в диагностике, так и в лечении.</w:t>
      </w:r>
    </w:p>
    <w:p w:rsidR="001665C7" w:rsidRDefault="00C70701" w:rsidP="00730F72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Исторические</w:t>
      </w:r>
      <w:bookmarkEnd w:id="6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данные</w:t>
      </w:r>
    </w:p>
    <w:p w:rsidR="00730F72" w:rsidRDefault="00730F72" w:rsidP="00730F7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Первые"/>
      <w:r w:rsidRPr="00730F72">
        <w:rPr>
          <w:rFonts w:ascii="Times New Roman" w:hAnsi="Times New Roman"/>
          <w:sz w:val="28"/>
          <w:szCs w:val="28"/>
        </w:rPr>
        <w:t xml:space="preserve">Негативное влияние повышенного внутрибрюшного давления (ВБД) на различные органы и системы организма человека известно уже на протяжении почти </w:t>
      </w:r>
      <w:r w:rsidRPr="00730F72">
        <w:rPr>
          <w:rFonts w:ascii="Times New Roman" w:hAnsi="Times New Roman"/>
          <w:sz w:val="28"/>
          <w:szCs w:val="28"/>
        </w:rPr>
        <w:lastRenderedPageBreak/>
        <w:t xml:space="preserve">100 лет. Впервые связь между повышенным давлением в брюшной полости и нарушением функции </w:t>
      </w:r>
      <w:proofErr w:type="spellStart"/>
      <w:proofErr w:type="gramStart"/>
      <w:r w:rsidRPr="00730F72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730F72">
        <w:rPr>
          <w:rFonts w:ascii="Times New Roman" w:hAnsi="Times New Roman"/>
          <w:sz w:val="28"/>
          <w:szCs w:val="28"/>
        </w:rPr>
        <w:t xml:space="preserve"> системы с летальным исх</w:t>
      </w:r>
      <w:r>
        <w:rPr>
          <w:rFonts w:ascii="Times New Roman" w:hAnsi="Times New Roman"/>
          <w:sz w:val="28"/>
          <w:szCs w:val="28"/>
        </w:rPr>
        <w:t xml:space="preserve">одом описал </w:t>
      </w:r>
      <w:proofErr w:type="spellStart"/>
      <w:r>
        <w:rPr>
          <w:rFonts w:ascii="Times New Roman" w:hAnsi="Times New Roman"/>
          <w:sz w:val="28"/>
          <w:szCs w:val="28"/>
        </w:rPr>
        <w:t>Эмерсон</w:t>
      </w:r>
      <w:proofErr w:type="spellEnd"/>
      <w:r>
        <w:rPr>
          <w:rFonts w:ascii="Times New Roman" w:hAnsi="Times New Roman"/>
          <w:sz w:val="28"/>
          <w:szCs w:val="28"/>
        </w:rPr>
        <w:t xml:space="preserve"> в 1911 г</w:t>
      </w:r>
      <w:r w:rsidRPr="00730F72">
        <w:rPr>
          <w:rFonts w:ascii="Times New Roman" w:hAnsi="Times New Roman"/>
          <w:sz w:val="28"/>
          <w:szCs w:val="28"/>
        </w:rPr>
        <w:t>. Однако понимание того, что брюшная полость является замкнутым пространством, и стройная концепция внутрибрюшной гипертензии, которая может реализоваться в АКС, впервые появились в 80-х годах XX века [19]. Лишь через 10 лет после выявления патофизиологических закономерностей развития данного состояния стали внедряться хирургические методы его коррекции.</w:t>
      </w:r>
    </w:p>
    <w:p w:rsidR="00730F72" w:rsidRDefault="00730F72" w:rsidP="00730F7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F72">
        <w:rPr>
          <w:rFonts w:ascii="Times New Roman" w:hAnsi="Times New Roman"/>
          <w:sz w:val="28"/>
          <w:szCs w:val="28"/>
        </w:rPr>
        <w:t xml:space="preserve">Во второй половине XIX в. </w:t>
      </w:r>
      <w:proofErr w:type="spellStart"/>
      <w:r w:rsidRPr="00730F72">
        <w:rPr>
          <w:rFonts w:ascii="Times New Roman" w:hAnsi="Times New Roman"/>
          <w:sz w:val="28"/>
          <w:szCs w:val="28"/>
        </w:rPr>
        <w:t>Marey</w:t>
      </w:r>
      <w:proofErr w:type="spellEnd"/>
      <w:r w:rsidRPr="00730F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0F72">
        <w:rPr>
          <w:rFonts w:ascii="Times New Roman" w:hAnsi="Times New Roman"/>
          <w:sz w:val="28"/>
          <w:szCs w:val="28"/>
        </w:rPr>
        <w:t>Burt</w:t>
      </w:r>
      <w:proofErr w:type="spellEnd"/>
      <w:r w:rsidRPr="00730F72">
        <w:rPr>
          <w:rFonts w:ascii="Times New Roman" w:hAnsi="Times New Roman"/>
          <w:sz w:val="28"/>
          <w:szCs w:val="28"/>
        </w:rPr>
        <w:t xml:space="preserve"> установили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72">
        <w:rPr>
          <w:rFonts w:ascii="Times New Roman" w:hAnsi="Times New Roman"/>
          <w:sz w:val="28"/>
          <w:szCs w:val="28"/>
        </w:rPr>
        <w:t>связь между выраженностью дыхательной недостаточности и степенью напряженности передней брюшной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72">
        <w:rPr>
          <w:rFonts w:ascii="Times New Roman" w:hAnsi="Times New Roman"/>
          <w:sz w:val="28"/>
          <w:szCs w:val="28"/>
        </w:rPr>
        <w:t>стенки, но широкий интерес к проблеме проявился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72">
        <w:rPr>
          <w:rFonts w:ascii="Times New Roman" w:hAnsi="Times New Roman"/>
          <w:sz w:val="28"/>
          <w:szCs w:val="28"/>
        </w:rPr>
        <w:t xml:space="preserve">гораздо позже, в конце XX </w:t>
      </w:r>
      <w:proofErr w:type="gramStart"/>
      <w:r w:rsidRPr="00730F72">
        <w:rPr>
          <w:rFonts w:ascii="Times New Roman" w:hAnsi="Times New Roman"/>
          <w:sz w:val="28"/>
          <w:szCs w:val="28"/>
        </w:rPr>
        <w:t>в</w:t>
      </w:r>
      <w:proofErr w:type="gramEnd"/>
      <w:r w:rsidRPr="00730F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0F72">
        <w:rPr>
          <w:rFonts w:ascii="Times New Roman" w:hAnsi="Times New Roman"/>
          <w:sz w:val="28"/>
          <w:szCs w:val="28"/>
        </w:rPr>
        <w:t>К</w:t>
      </w:r>
      <w:proofErr w:type="gramEnd"/>
      <w:r w:rsidRPr="00730F72">
        <w:rPr>
          <w:rFonts w:ascii="Times New Roman" w:hAnsi="Times New Roman"/>
          <w:sz w:val="28"/>
          <w:szCs w:val="28"/>
        </w:rPr>
        <w:t xml:space="preserve"> настоящему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72">
        <w:rPr>
          <w:rFonts w:ascii="Times New Roman" w:hAnsi="Times New Roman"/>
          <w:sz w:val="28"/>
          <w:szCs w:val="28"/>
        </w:rPr>
        <w:t>проведено много экспериментальных и клинических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F72">
        <w:rPr>
          <w:rFonts w:ascii="Times New Roman" w:hAnsi="Times New Roman"/>
          <w:sz w:val="28"/>
          <w:szCs w:val="28"/>
        </w:rPr>
        <w:t>исследований, накоплено большое количество сведений, посвященных данной проблеме.</w:t>
      </w:r>
    </w:p>
    <w:p w:rsidR="00730F72" w:rsidRDefault="00730F72" w:rsidP="00730F7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F72">
        <w:rPr>
          <w:rFonts w:ascii="Times New Roman" w:hAnsi="Times New Roman"/>
          <w:sz w:val="28"/>
          <w:szCs w:val="28"/>
        </w:rPr>
        <w:t xml:space="preserve">В 2004 г. состоялась первая согласительная конференция, посвященная проблемам абдоминального </w:t>
      </w:r>
      <w:proofErr w:type="spellStart"/>
      <w:r w:rsidRPr="00730F72">
        <w:rPr>
          <w:rFonts w:ascii="Times New Roman" w:hAnsi="Times New Roman"/>
          <w:sz w:val="28"/>
          <w:szCs w:val="28"/>
        </w:rPr>
        <w:t>компартмент-синдрома</w:t>
      </w:r>
      <w:proofErr w:type="spellEnd"/>
      <w:r w:rsidRPr="00730F72">
        <w:rPr>
          <w:rFonts w:ascii="Times New Roman" w:hAnsi="Times New Roman"/>
          <w:sz w:val="28"/>
          <w:szCs w:val="28"/>
        </w:rPr>
        <w:t xml:space="preserve"> (АКС), где </w:t>
      </w:r>
      <w:proofErr w:type="spellStart"/>
      <w:r w:rsidRPr="00730F72">
        <w:rPr>
          <w:rFonts w:ascii="Times New Roman" w:hAnsi="Times New Roman"/>
          <w:sz w:val="28"/>
          <w:szCs w:val="28"/>
        </w:rPr>
        <w:t>интраабдоминальная</w:t>
      </w:r>
      <w:proofErr w:type="spellEnd"/>
      <w:r w:rsidRPr="00730F72">
        <w:rPr>
          <w:rFonts w:ascii="Times New Roman" w:hAnsi="Times New Roman"/>
          <w:sz w:val="28"/>
          <w:szCs w:val="28"/>
        </w:rPr>
        <w:t xml:space="preserve"> гипертензия (ИАГ) была определена как устойчивое повышение ВБД до 12 мм </w:t>
      </w:r>
      <w:proofErr w:type="spellStart"/>
      <w:r w:rsidRPr="00730F72">
        <w:rPr>
          <w:rFonts w:ascii="Times New Roman" w:hAnsi="Times New Roman"/>
          <w:sz w:val="28"/>
          <w:szCs w:val="28"/>
        </w:rPr>
        <w:t>рт</w:t>
      </w:r>
      <w:proofErr w:type="spellEnd"/>
      <w:r w:rsidRPr="00730F72">
        <w:rPr>
          <w:rFonts w:ascii="Times New Roman" w:hAnsi="Times New Roman"/>
          <w:sz w:val="28"/>
          <w:szCs w:val="28"/>
        </w:rPr>
        <w:t>. ст. и более, которое регистрируется как минимум при трех стандартных изм</w:t>
      </w:r>
      <w:r w:rsidR="00ED0E9D">
        <w:rPr>
          <w:rFonts w:ascii="Times New Roman" w:hAnsi="Times New Roman"/>
          <w:sz w:val="28"/>
          <w:szCs w:val="28"/>
        </w:rPr>
        <w:t>ерениях с интервалом в 4–6 ч</w:t>
      </w:r>
      <w:r w:rsidRPr="00730F72">
        <w:rPr>
          <w:rFonts w:ascii="Times New Roman" w:hAnsi="Times New Roman"/>
          <w:sz w:val="28"/>
          <w:szCs w:val="28"/>
        </w:rPr>
        <w:t>. Это определение исключает регистрацию коротких, непродолжительных колебаний ВБД, не имеющих никакого клинического значения.</w:t>
      </w:r>
      <w:proofErr w:type="gramEnd"/>
    </w:p>
    <w:p w:rsidR="00ED0E9D" w:rsidRDefault="00ED0E9D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8" w:name="Этиология"/>
      <w:bookmarkEnd w:id="7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Классификация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Система классификации была разработана WSACS для ИАГ. Классификация ИАГ по степеням выглядит следующим образом:</w:t>
      </w:r>
    </w:p>
    <w:p w:rsidR="00ED0E9D" w:rsidRPr="00ED0E9D" w:rsidRDefault="00ED0E9D" w:rsidP="00ED0E9D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I степень: ИАД 12–15 мм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. ст.;</w:t>
      </w:r>
    </w:p>
    <w:p w:rsidR="00ED0E9D" w:rsidRPr="00ED0E9D" w:rsidRDefault="00ED0E9D" w:rsidP="00ED0E9D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II степень: ИАД 16–20 мм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. ст.;</w:t>
      </w:r>
    </w:p>
    <w:p w:rsidR="00ED0E9D" w:rsidRPr="00ED0E9D" w:rsidRDefault="00ED0E9D" w:rsidP="00ED0E9D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III степень: ИАД 21–25 мм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. ст.;</w:t>
      </w:r>
    </w:p>
    <w:p w:rsidR="00ED0E9D" w:rsidRPr="00ED0E9D" w:rsidRDefault="00ED0E9D" w:rsidP="00ED0E9D">
      <w:pPr>
        <w:numPr>
          <w:ilvl w:val="0"/>
          <w:numId w:val="2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IV степень: ИАД &gt; 25 мм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рт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С другой стороны, АКС дополнительно классифицируется в зависимости от причины и продолжительности ИАГ на </w:t>
      </w: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первичную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, вторичную и рецидивирующую.</w:t>
      </w:r>
    </w:p>
    <w:p w:rsidR="00ED0E9D" w:rsidRPr="00ED0E9D" w:rsidRDefault="00ED0E9D" w:rsidP="00ED0E9D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Первичный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АКС — это состояние, ассоциированное с травмой или заболеванием в области брюшной полости, которое часто требует раннего хирургического или интервенционного рентгенологического вмешательства.</w:t>
      </w:r>
    </w:p>
    <w:p w:rsidR="00ED0E9D" w:rsidRPr="00ED0E9D" w:rsidRDefault="00ED0E9D" w:rsidP="00ED0E9D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Вторичный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АКС относится к состояниям, которые не исходят из брюшной полости. </w:t>
      </w: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Рецидивирующий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АКС относится к состоянию, возникшему после предыдущего хирургического или медицинского лечения первичного или вторичного АКС.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Эти системы классификационных групп, разработанные WSACS, облегчают последующее управление ИАГ и АКС в рамках организации поэтапного подхода к ведению больных.</w:t>
      </w: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Этиология</w:t>
      </w:r>
      <w:bookmarkEnd w:id="8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и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патогенез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Клиническая"/>
      <w:r w:rsidRPr="00ED0E9D">
        <w:rPr>
          <w:rFonts w:ascii="Times New Roman" w:hAnsi="Times New Roman"/>
          <w:sz w:val="28"/>
          <w:szCs w:val="28"/>
        </w:rPr>
        <w:t xml:space="preserve">Анатомические предпосылки развития ИАГ и АКС заключаются в том, что брюшная полость вместе с </w:t>
      </w:r>
      <w:proofErr w:type="spellStart"/>
      <w:r w:rsidRPr="00ED0E9D">
        <w:rPr>
          <w:rFonts w:ascii="Times New Roman" w:hAnsi="Times New Roman"/>
          <w:sz w:val="28"/>
          <w:szCs w:val="28"/>
        </w:rPr>
        <w:t>забрюшинным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пространством с разных сторон ограничены мышцами, позвоночником,</w:t>
      </w:r>
      <w:r>
        <w:rPr>
          <w:rFonts w:ascii="Times New Roman" w:hAnsi="Times New Roman"/>
          <w:sz w:val="28"/>
          <w:szCs w:val="28"/>
        </w:rPr>
        <w:t xml:space="preserve"> диафрагмой и костями таза</w:t>
      </w:r>
      <w:r w:rsidRPr="00ED0E9D">
        <w:rPr>
          <w:rFonts w:ascii="Times New Roman" w:hAnsi="Times New Roman"/>
          <w:sz w:val="28"/>
          <w:szCs w:val="28"/>
        </w:rPr>
        <w:t>. За счет растяжимости мягких тканей объем брюшной полости может увеличиваться лишь до некоторых конечных значений. Выделяют целый ряд предрасполагающих факторов развития АКС, которые можно по</w:t>
      </w:r>
      <w:r>
        <w:rPr>
          <w:rFonts w:ascii="Times New Roman" w:hAnsi="Times New Roman"/>
          <w:sz w:val="28"/>
          <w:szCs w:val="28"/>
        </w:rPr>
        <w:t>дразделить на четыре группы</w:t>
      </w:r>
      <w:r w:rsidRPr="00ED0E9D">
        <w:rPr>
          <w:rFonts w:ascii="Times New Roman" w:hAnsi="Times New Roman"/>
          <w:sz w:val="28"/>
          <w:szCs w:val="28"/>
        </w:rPr>
        <w:t>.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 xml:space="preserve"> Факторы, способствующие снижению эластичности передней брюшной стенки: выраженный болевой синдром и спазм мышц передней брюшной стенки; искусственная вентиляция легких, особенно при сопротивлении дыхательному аппарату, неправильный подбор параметров положительного давления конца выдоха, плевропневмония, натяжная пластика гигантских вентральных грыж, рубцы на передней брюшной стенке. 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 xml:space="preserve">Факторы, способствующие увеличению содержимого брюшной полости: парез желудка, кишечная непроходимость, опухоли брюшной полости, аневризма брюшного отдела аорты, отек либо гематома </w:t>
      </w:r>
      <w:proofErr w:type="spellStart"/>
      <w:r w:rsidRPr="00ED0E9D">
        <w:rPr>
          <w:rFonts w:ascii="Times New Roman" w:hAnsi="Times New Roman"/>
          <w:sz w:val="28"/>
          <w:szCs w:val="28"/>
        </w:rPr>
        <w:t>забрюшинного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пространства. Факторы, способствующие накоплению жидкости или газа в брюшной полости: асцит, панкреатит, перитонит, гем</w:t>
      </w:r>
      <w:proofErr w:type="gramStart"/>
      <w:r w:rsidRPr="00ED0E9D">
        <w:rPr>
          <w:rFonts w:ascii="Times New Roman" w:hAnsi="Times New Roman"/>
          <w:sz w:val="28"/>
          <w:szCs w:val="28"/>
        </w:rPr>
        <w:t>о-</w:t>
      </w:r>
      <w:proofErr w:type="gramEnd"/>
      <w:r w:rsidRPr="00ED0E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E9D">
        <w:rPr>
          <w:rFonts w:ascii="Times New Roman" w:hAnsi="Times New Roman"/>
          <w:sz w:val="28"/>
          <w:szCs w:val="28"/>
        </w:rPr>
        <w:t>пневмоперитонеум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. 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>Факторы, способствующие развитию «капиллярной утечки»: ацидоз (</w:t>
      </w:r>
      <w:proofErr w:type="spellStart"/>
      <w:r w:rsidRPr="00ED0E9D">
        <w:rPr>
          <w:rFonts w:ascii="Times New Roman" w:hAnsi="Times New Roman"/>
          <w:sz w:val="28"/>
          <w:szCs w:val="28"/>
        </w:rPr>
        <w:t>рН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ниже 7,2), гипотермия, </w:t>
      </w:r>
      <w:proofErr w:type="spellStart"/>
      <w:r w:rsidRPr="00ED0E9D">
        <w:rPr>
          <w:rFonts w:ascii="Times New Roman" w:hAnsi="Times New Roman"/>
          <w:sz w:val="28"/>
          <w:szCs w:val="28"/>
        </w:rPr>
        <w:t>политрансфузия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(более 10 единиц </w:t>
      </w:r>
      <w:proofErr w:type="spellStart"/>
      <w:r w:rsidRPr="00ED0E9D">
        <w:rPr>
          <w:rFonts w:ascii="Times New Roman" w:hAnsi="Times New Roman"/>
          <w:sz w:val="28"/>
          <w:szCs w:val="28"/>
        </w:rPr>
        <w:t>эритроцитной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массы в сутки), </w:t>
      </w:r>
      <w:proofErr w:type="spellStart"/>
      <w:r w:rsidRPr="00ED0E9D">
        <w:rPr>
          <w:rFonts w:ascii="Times New Roman" w:hAnsi="Times New Roman"/>
          <w:sz w:val="28"/>
          <w:szCs w:val="28"/>
        </w:rPr>
        <w:t>коагулопатия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, сепсис, бактериемия, массивная </w:t>
      </w:r>
      <w:proofErr w:type="spellStart"/>
      <w:r w:rsidRPr="00ED0E9D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терапия (более 5 л коллоидов или кристаллоидов за 8–10 ч), обширные ожоги (более 25% площади тела). 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>Эти факторы объясняют большой круг существующих причин развития АКС, к наиболее частым из которых относят: тяжелую травму ор</w:t>
      </w:r>
      <w:r>
        <w:rPr>
          <w:rFonts w:ascii="Times New Roman" w:hAnsi="Times New Roman"/>
          <w:sz w:val="28"/>
          <w:szCs w:val="28"/>
        </w:rPr>
        <w:t xml:space="preserve">ганов брюшной полости, </w:t>
      </w:r>
      <w:r>
        <w:rPr>
          <w:rFonts w:ascii="Times New Roman" w:hAnsi="Times New Roman"/>
          <w:sz w:val="28"/>
          <w:szCs w:val="28"/>
        </w:rPr>
        <w:lastRenderedPageBreak/>
        <w:t>перелом костей таза</w:t>
      </w:r>
      <w:r w:rsidRPr="00ED0E9D">
        <w:rPr>
          <w:rFonts w:ascii="Times New Roman" w:hAnsi="Times New Roman"/>
          <w:sz w:val="28"/>
          <w:szCs w:val="28"/>
        </w:rPr>
        <w:t>, кровотечен</w:t>
      </w:r>
      <w:r>
        <w:rPr>
          <w:rFonts w:ascii="Times New Roman" w:hAnsi="Times New Roman"/>
          <w:sz w:val="28"/>
          <w:szCs w:val="28"/>
        </w:rPr>
        <w:t>ие в брюшную полость</w:t>
      </w:r>
      <w:r w:rsidRPr="00ED0E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E9D">
        <w:rPr>
          <w:rFonts w:ascii="Times New Roman" w:hAnsi="Times New Roman"/>
          <w:sz w:val="28"/>
          <w:szCs w:val="28"/>
        </w:rPr>
        <w:t>забрюшинное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пространс</w:t>
      </w:r>
      <w:r>
        <w:rPr>
          <w:rFonts w:ascii="Times New Roman" w:hAnsi="Times New Roman"/>
          <w:sz w:val="28"/>
          <w:szCs w:val="28"/>
        </w:rPr>
        <w:t>тво</w:t>
      </w:r>
      <w:r w:rsidRPr="00ED0E9D">
        <w:rPr>
          <w:rFonts w:ascii="Times New Roman" w:hAnsi="Times New Roman"/>
          <w:sz w:val="28"/>
          <w:szCs w:val="28"/>
        </w:rPr>
        <w:t>, раз</w:t>
      </w:r>
      <w:r>
        <w:rPr>
          <w:rFonts w:ascii="Times New Roman" w:hAnsi="Times New Roman"/>
          <w:sz w:val="28"/>
          <w:szCs w:val="28"/>
        </w:rPr>
        <w:t>рыв аневризмы брюшной аорты, перитонит, деструктивный панкреатит</w:t>
      </w:r>
      <w:r w:rsidRPr="00ED0E9D">
        <w:rPr>
          <w:rFonts w:ascii="Times New Roman" w:hAnsi="Times New Roman"/>
          <w:sz w:val="28"/>
          <w:szCs w:val="28"/>
        </w:rPr>
        <w:t xml:space="preserve">, ожоги более 60% </w:t>
      </w:r>
      <w:r>
        <w:rPr>
          <w:rFonts w:ascii="Times New Roman" w:hAnsi="Times New Roman"/>
          <w:sz w:val="28"/>
          <w:szCs w:val="28"/>
        </w:rPr>
        <w:t>поверхности тела</w:t>
      </w:r>
      <w:r w:rsidRPr="00ED0E9D">
        <w:rPr>
          <w:rFonts w:ascii="Times New Roman" w:hAnsi="Times New Roman"/>
          <w:sz w:val="28"/>
          <w:szCs w:val="28"/>
        </w:rPr>
        <w:t xml:space="preserve">, массивную </w:t>
      </w:r>
      <w:proofErr w:type="spellStart"/>
      <w:r w:rsidRPr="00ED0E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нфузионную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терапию шока</w:t>
      </w:r>
      <w:r w:rsidRPr="00ED0E9D">
        <w:rPr>
          <w:rFonts w:ascii="Times New Roman" w:hAnsi="Times New Roman"/>
          <w:sz w:val="28"/>
          <w:szCs w:val="28"/>
        </w:rPr>
        <w:t>. Реже причинами развития АКС являются: кишечная непроходимост</w:t>
      </w:r>
      <w:r>
        <w:rPr>
          <w:rFonts w:ascii="Times New Roman" w:hAnsi="Times New Roman"/>
          <w:sz w:val="28"/>
          <w:szCs w:val="28"/>
        </w:rPr>
        <w:t>ь</w:t>
      </w:r>
      <w:r w:rsidRPr="00ED0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E9D">
        <w:rPr>
          <w:rFonts w:ascii="Times New Roman" w:hAnsi="Times New Roman"/>
          <w:sz w:val="28"/>
          <w:szCs w:val="28"/>
        </w:rPr>
        <w:t>ушивание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лапаротомной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 xml:space="preserve">ы с натяжением ее краев, </w:t>
      </w:r>
      <w:proofErr w:type="spellStart"/>
      <w:r>
        <w:rPr>
          <w:rFonts w:ascii="Times New Roman" w:hAnsi="Times New Roman"/>
          <w:sz w:val="28"/>
          <w:szCs w:val="28"/>
        </w:rPr>
        <w:t>грыжесечение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перитонеальный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диализ</w:t>
      </w:r>
      <w:r w:rsidRPr="00ED0E9D">
        <w:rPr>
          <w:rFonts w:ascii="Times New Roman" w:hAnsi="Times New Roman"/>
          <w:sz w:val="28"/>
          <w:szCs w:val="28"/>
        </w:rPr>
        <w:t xml:space="preserve">. </w:t>
      </w:r>
    </w:p>
    <w:p w:rsid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>К более редким причинам можно отнести развитие АКС у пострадавших с изолированной черепно-мозговой травмой и изолированной травмой кон</w:t>
      </w:r>
      <w:r>
        <w:rPr>
          <w:rFonts w:ascii="Times New Roman" w:hAnsi="Times New Roman"/>
          <w:sz w:val="28"/>
          <w:szCs w:val="28"/>
        </w:rPr>
        <w:t>ечностей</w:t>
      </w:r>
      <w:r w:rsidRPr="00ED0E9D">
        <w:rPr>
          <w:rFonts w:ascii="Times New Roman" w:hAnsi="Times New Roman"/>
          <w:sz w:val="28"/>
          <w:szCs w:val="28"/>
        </w:rPr>
        <w:t>, в том числе сопровождавшейся синдро</w:t>
      </w:r>
      <w:r>
        <w:rPr>
          <w:rFonts w:ascii="Times New Roman" w:hAnsi="Times New Roman"/>
          <w:sz w:val="28"/>
          <w:szCs w:val="28"/>
        </w:rPr>
        <w:t xml:space="preserve">мом </w:t>
      </w:r>
      <w:proofErr w:type="spellStart"/>
      <w:r>
        <w:rPr>
          <w:rFonts w:ascii="Times New Roman" w:hAnsi="Times New Roman"/>
          <w:sz w:val="28"/>
          <w:szCs w:val="28"/>
        </w:rPr>
        <w:t>сдавления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мягких тканей. V. </w:t>
      </w:r>
      <w:proofErr w:type="spellStart"/>
      <w:r>
        <w:rPr>
          <w:rFonts w:ascii="Times New Roman" w:hAnsi="Times New Roman"/>
          <w:sz w:val="28"/>
          <w:szCs w:val="28"/>
        </w:rPr>
        <w:t>Fraipont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соавт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D0E9D">
        <w:rPr>
          <w:rFonts w:ascii="Times New Roman" w:hAnsi="Times New Roman"/>
          <w:sz w:val="28"/>
          <w:szCs w:val="28"/>
        </w:rPr>
        <w:t xml:space="preserve"> описали развитие синдрома АКС после </w:t>
      </w:r>
      <w:proofErr w:type="spellStart"/>
      <w:r w:rsidRPr="00ED0E9D">
        <w:rPr>
          <w:rFonts w:ascii="Times New Roman" w:hAnsi="Times New Roman"/>
          <w:sz w:val="28"/>
          <w:szCs w:val="28"/>
        </w:rPr>
        <w:t>чрескожной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дилатационной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т</w:t>
      </w:r>
      <w:proofErr w:type="gramStart"/>
      <w:r w:rsidRPr="00ED0E9D">
        <w:rPr>
          <w:rFonts w:ascii="Times New Roman" w:hAnsi="Times New Roman"/>
          <w:sz w:val="28"/>
          <w:szCs w:val="28"/>
        </w:rPr>
        <w:t>paxe</w:t>
      </w:r>
      <w:proofErr w:type="gramEnd"/>
      <w:r w:rsidRPr="00ED0E9D">
        <w:rPr>
          <w:rFonts w:ascii="Times New Roman" w:hAnsi="Times New Roman"/>
          <w:sz w:val="28"/>
          <w:szCs w:val="28"/>
        </w:rPr>
        <w:t>остомии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, осложнившейся </w:t>
      </w:r>
      <w:proofErr w:type="spellStart"/>
      <w:r w:rsidRPr="00ED0E9D">
        <w:rPr>
          <w:rFonts w:ascii="Times New Roman" w:hAnsi="Times New Roman"/>
          <w:sz w:val="28"/>
          <w:szCs w:val="28"/>
        </w:rPr>
        <w:t>пневмоперитонеумом</w:t>
      </w:r>
      <w:proofErr w:type="spellEnd"/>
      <w:r>
        <w:rPr>
          <w:rFonts w:ascii="Times New Roman" w:hAnsi="Times New Roman"/>
          <w:sz w:val="28"/>
          <w:szCs w:val="28"/>
        </w:rPr>
        <w:t xml:space="preserve">, V. </w:t>
      </w:r>
      <w:proofErr w:type="spellStart"/>
      <w:r>
        <w:rPr>
          <w:rFonts w:ascii="Times New Roman" w:hAnsi="Times New Roman"/>
          <w:sz w:val="28"/>
          <w:szCs w:val="28"/>
        </w:rPr>
        <w:t>von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Gruenigen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соавт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D0E9D">
        <w:rPr>
          <w:rFonts w:ascii="Times New Roman" w:hAnsi="Times New Roman"/>
          <w:sz w:val="28"/>
          <w:szCs w:val="28"/>
        </w:rPr>
        <w:t xml:space="preserve"> сообщили о двух наблюдениях синдрома</w:t>
      </w:r>
      <w:r>
        <w:rPr>
          <w:rFonts w:ascii="Times New Roman" w:hAnsi="Times New Roman"/>
          <w:sz w:val="28"/>
          <w:szCs w:val="28"/>
        </w:rPr>
        <w:t xml:space="preserve"> АКС после </w:t>
      </w:r>
      <w:proofErr w:type="spellStart"/>
      <w:r>
        <w:rPr>
          <w:rFonts w:ascii="Times New Roman" w:hAnsi="Times New Roman"/>
          <w:sz w:val="28"/>
          <w:szCs w:val="28"/>
        </w:rPr>
        <w:t>пангистерэктомии</w:t>
      </w:r>
      <w:proofErr w:type="spellEnd"/>
      <w:r w:rsidRPr="00ED0E9D">
        <w:rPr>
          <w:rFonts w:ascii="Times New Roman" w:hAnsi="Times New Roman"/>
          <w:sz w:val="28"/>
          <w:szCs w:val="28"/>
        </w:rPr>
        <w:t>. Также описаны случаи развития АКС посл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эзофагогастродуоденоскопии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, после </w:t>
      </w:r>
      <w:proofErr w:type="spellStart"/>
      <w:r w:rsidRPr="00ED0E9D">
        <w:rPr>
          <w:rFonts w:ascii="Times New Roman" w:hAnsi="Times New Roman"/>
          <w:sz w:val="28"/>
          <w:szCs w:val="28"/>
        </w:rPr>
        <w:t>эндартерэктомии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из вер</w:t>
      </w:r>
      <w:r>
        <w:rPr>
          <w:rFonts w:ascii="Times New Roman" w:hAnsi="Times New Roman"/>
          <w:sz w:val="28"/>
          <w:szCs w:val="28"/>
        </w:rPr>
        <w:t>хней брыжеечной артерии</w:t>
      </w:r>
      <w:r w:rsidRPr="00ED0E9D">
        <w:rPr>
          <w:rFonts w:ascii="Times New Roman" w:hAnsi="Times New Roman"/>
          <w:sz w:val="28"/>
          <w:szCs w:val="28"/>
        </w:rPr>
        <w:t xml:space="preserve"> и во вре</w:t>
      </w:r>
      <w:r>
        <w:rPr>
          <w:rFonts w:ascii="Times New Roman" w:hAnsi="Times New Roman"/>
          <w:sz w:val="28"/>
          <w:szCs w:val="28"/>
        </w:rPr>
        <w:t>мя лапароскопии</w:t>
      </w:r>
      <w:r w:rsidRPr="00ED0E9D">
        <w:rPr>
          <w:rFonts w:ascii="Times New Roman" w:hAnsi="Times New Roman"/>
          <w:sz w:val="28"/>
          <w:szCs w:val="28"/>
        </w:rPr>
        <w:t xml:space="preserve">. Этиологическая классификация АКС имеет следующий вид: Первичный АКС (хирургический или абдоминальный) — как следствие патологических процессов, развивающихся непосредственно в брюшной полости в результате абдоминальной травмы, разрыва аневризмы брюшного отдела аорты, </w:t>
      </w:r>
      <w:proofErr w:type="spellStart"/>
      <w:r w:rsidRPr="00ED0E9D">
        <w:rPr>
          <w:rFonts w:ascii="Times New Roman" w:hAnsi="Times New Roman"/>
          <w:sz w:val="28"/>
          <w:szCs w:val="28"/>
        </w:rPr>
        <w:t>гемоперитонеума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, острого панкреатита, распространенного перитонита, </w:t>
      </w:r>
      <w:proofErr w:type="spellStart"/>
      <w:r w:rsidRPr="00ED0E9D">
        <w:rPr>
          <w:rFonts w:ascii="Times New Roman" w:hAnsi="Times New Roman"/>
          <w:sz w:val="28"/>
          <w:szCs w:val="28"/>
        </w:rPr>
        <w:t>забрюшинной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гематомы и т.п. Вторичный АКС (терапевтический, </w:t>
      </w:r>
      <w:proofErr w:type="spellStart"/>
      <w:r w:rsidRPr="00ED0E9D">
        <w:rPr>
          <w:rFonts w:ascii="Times New Roman" w:hAnsi="Times New Roman"/>
          <w:sz w:val="28"/>
          <w:szCs w:val="28"/>
        </w:rPr>
        <w:t>экстраабдоминальный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) — характеризуется присутствием </w:t>
      </w:r>
      <w:proofErr w:type="spellStart"/>
      <w:r w:rsidRPr="00ED0E9D">
        <w:rPr>
          <w:rFonts w:ascii="Times New Roman" w:hAnsi="Times New Roman"/>
          <w:sz w:val="28"/>
          <w:szCs w:val="28"/>
        </w:rPr>
        <w:t>подострой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или хронической ИАГ, причинами которой являются </w:t>
      </w:r>
      <w:proofErr w:type="spellStart"/>
      <w:r w:rsidRPr="00ED0E9D">
        <w:rPr>
          <w:rFonts w:ascii="Times New Roman" w:hAnsi="Times New Roman"/>
          <w:sz w:val="28"/>
          <w:szCs w:val="28"/>
        </w:rPr>
        <w:t>экстраабдоминальная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патология, например сепсис, обширные ожоги или другие состояния, требующие массивной </w:t>
      </w:r>
      <w:proofErr w:type="spellStart"/>
      <w:r w:rsidRPr="00ED0E9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фузионной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терапии</w:t>
      </w:r>
      <w:r w:rsidRPr="00ED0E9D">
        <w:rPr>
          <w:rFonts w:ascii="Times New Roman" w:hAnsi="Times New Roman"/>
          <w:sz w:val="28"/>
          <w:szCs w:val="28"/>
        </w:rPr>
        <w:t xml:space="preserve">. Возвратный АКС (третичный) — представляет собой повторное появление симптомов, характерных для АКС, на фоне разрешающейся картины ранее возникшего первичного или вторичного АКС. Часто это состояние называют феноменом «второго удара». </w:t>
      </w:r>
      <w:proofErr w:type="gramStart"/>
      <w:r w:rsidRPr="00ED0E9D">
        <w:rPr>
          <w:rFonts w:ascii="Times New Roman" w:hAnsi="Times New Roman"/>
          <w:sz w:val="28"/>
          <w:szCs w:val="28"/>
        </w:rPr>
        <w:t>Возвратный</w:t>
      </w:r>
      <w:proofErr w:type="gramEnd"/>
      <w:r w:rsidRPr="00ED0E9D">
        <w:rPr>
          <w:rFonts w:ascii="Times New Roman" w:hAnsi="Times New Roman"/>
          <w:sz w:val="28"/>
          <w:szCs w:val="28"/>
        </w:rPr>
        <w:t xml:space="preserve"> АКС может развиваться на фоне наличия у больного «открытого живота» (</w:t>
      </w:r>
      <w:proofErr w:type="spellStart"/>
      <w:r w:rsidRPr="00ED0E9D">
        <w:rPr>
          <w:rFonts w:ascii="Times New Roman" w:hAnsi="Times New Roman"/>
          <w:sz w:val="28"/>
          <w:szCs w:val="28"/>
        </w:rPr>
        <w:t>open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abdomen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compartment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E9D">
        <w:rPr>
          <w:rFonts w:ascii="Times New Roman" w:hAnsi="Times New Roman"/>
          <w:sz w:val="28"/>
          <w:szCs w:val="28"/>
        </w:rPr>
        <w:t>syndrome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) или после </w:t>
      </w:r>
      <w:proofErr w:type="spellStart"/>
      <w:r w:rsidRPr="00ED0E9D">
        <w:rPr>
          <w:rFonts w:ascii="Times New Roman" w:hAnsi="Times New Roman"/>
          <w:sz w:val="28"/>
          <w:szCs w:val="28"/>
        </w:rPr>
        <w:t>ушивания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брюшной полости «наглух</w:t>
      </w:r>
      <w:r>
        <w:rPr>
          <w:rFonts w:ascii="Times New Roman" w:hAnsi="Times New Roman"/>
          <w:sz w:val="28"/>
          <w:szCs w:val="28"/>
        </w:rPr>
        <w:t xml:space="preserve">о» (ликвидации </w:t>
      </w:r>
      <w:proofErr w:type="spellStart"/>
      <w:r>
        <w:rPr>
          <w:rFonts w:ascii="Times New Roman" w:hAnsi="Times New Roman"/>
          <w:sz w:val="28"/>
          <w:szCs w:val="28"/>
        </w:rPr>
        <w:t>лапаростомы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D0E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0E9D">
        <w:rPr>
          <w:rFonts w:ascii="Times New Roman" w:hAnsi="Times New Roman"/>
          <w:sz w:val="28"/>
          <w:szCs w:val="28"/>
        </w:rPr>
        <w:t>Третичный</w:t>
      </w:r>
      <w:proofErr w:type="gramEnd"/>
      <w:r w:rsidRPr="00ED0E9D">
        <w:rPr>
          <w:rFonts w:ascii="Times New Roman" w:hAnsi="Times New Roman"/>
          <w:sz w:val="28"/>
          <w:szCs w:val="28"/>
        </w:rPr>
        <w:t xml:space="preserve"> АКС характеризуется дост</w:t>
      </w:r>
      <w:r>
        <w:rPr>
          <w:rFonts w:ascii="Times New Roman" w:hAnsi="Times New Roman"/>
          <w:sz w:val="28"/>
          <w:szCs w:val="28"/>
        </w:rPr>
        <w:t>оверно высокой летальностью</w:t>
      </w:r>
      <w:r w:rsidRPr="00ED0E9D">
        <w:rPr>
          <w:rFonts w:ascii="Times New Roman" w:hAnsi="Times New Roman"/>
          <w:sz w:val="28"/>
          <w:szCs w:val="28"/>
        </w:rPr>
        <w:t>.</w:t>
      </w:r>
    </w:p>
    <w:p w:rsidR="00ED0E9D" w:rsidRP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 xml:space="preserve">Чтобы понять основные принципы ИАГ и АКС, мы можем сравнить его в целом с </w:t>
      </w:r>
      <w:proofErr w:type="spellStart"/>
      <w:r w:rsidRPr="00ED0E9D">
        <w:rPr>
          <w:rFonts w:ascii="Times New Roman" w:hAnsi="Times New Roman"/>
          <w:sz w:val="28"/>
          <w:szCs w:val="28"/>
        </w:rPr>
        <w:t>компартмент-синдромом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, когда повышение давления ухудшает капиллярный кровоток, в конечном итоге уменьшая приток в </w:t>
      </w:r>
      <w:proofErr w:type="spellStart"/>
      <w:r w:rsidRPr="00ED0E9D">
        <w:rPr>
          <w:rFonts w:ascii="Times New Roman" w:hAnsi="Times New Roman"/>
          <w:sz w:val="28"/>
          <w:szCs w:val="28"/>
        </w:rPr>
        <w:t>артериолы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и уменьшая венозный отток. В дальнейшем это вызывает клеточную гипоксию, которая, в свою очередь, предшествует анаэробному дыханию и молочнокислому ацидозу.</w:t>
      </w:r>
    </w:p>
    <w:p w:rsidR="00ED0E9D" w:rsidRP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lastRenderedPageBreak/>
        <w:t xml:space="preserve">Человеческое тело можно рассматривать как сочетания различных анатомических отделов, взаимодействующие друг с другом, по этой причине патофизиология внутриполостной гипертензии и </w:t>
      </w:r>
      <w:proofErr w:type="spellStart"/>
      <w:r w:rsidRPr="00ED0E9D">
        <w:rPr>
          <w:rFonts w:ascii="Times New Roman" w:hAnsi="Times New Roman"/>
          <w:sz w:val="28"/>
          <w:szCs w:val="28"/>
        </w:rPr>
        <w:t>компартмент-синдрома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является многофакторной и может наблюдаться почти во всех системах органов.</w:t>
      </w:r>
    </w:p>
    <w:p w:rsidR="00ED0E9D" w:rsidRP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 xml:space="preserve">ИАГ, очевидно, не только вызывает снижение перфузии во всех органах брюшной полости, но и оказывает влияние на </w:t>
      </w:r>
      <w:proofErr w:type="spellStart"/>
      <w:r w:rsidRPr="00ED0E9D">
        <w:rPr>
          <w:rFonts w:ascii="Times New Roman" w:hAnsi="Times New Roman"/>
          <w:sz w:val="28"/>
          <w:szCs w:val="28"/>
        </w:rPr>
        <w:t>внебрюшинные</w:t>
      </w:r>
      <w:proofErr w:type="spellEnd"/>
      <w:r w:rsidRPr="00ED0E9D">
        <w:rPr>
          <w:rFonts w:ascii="Times New Roman" w:hAnsi="Times New Roman"/>
          <w:sz w:val="28"/>
          <w:szCs w:val="28"/>
        </w:rPr>
        <w:t xml:space="preserve"> органы, а в некоторых случаях даже оказывает влияние на внутричерепное давление. Проще говоря, когда внутрибрюшное давление повышается, многие органы постепенно начинают отказывать. Было установлено, что ИАГ вызывает ряд патофизиологических изменений, начиная с региональных нарушений кровотока и заканчивая явной недостаточностью систем органов и развитием АКС.</w:t>
      </w:r>
    </w:p>
    <w:p w:rsidR="00ED0E9D" w:rsidRPr="00ED0E9D" w:rsidRDefault="00ED0E9D" w:rsidP="00ED0E9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D0E9D">
        <w:rPr>
          <w:rFonts w:ascii="Times New Roman" w:hAnsi="Times New Roman"/>
          <w:sz w:val="28"/>
          <w:szCs w:val="28"/>
        </w:rPr>
        <w:t xml:space="preserve">Помимо уровня ИАД и этиологии ИАГ у пациента, схожую по значимости роль играет </w:t>
      </w:r>
      <w:proofErr w:type="spellStart"/>
      <w:r w:rsidRPr="00ED0E9D">
        <w:rPr>
          <w:rFonts w:ascii="Times New Roman" w:hAnsi="Times New Roman"/>
          <w:sz w:val="28"/>
          <w:szCs w:val="28"/>
        </w:rPr>
        <w:t>коморбидность</w:t>
      </w:r>
      <w:proofErr w:type="spellEnd"/>
      <w:r w:rsidRPr="00ED0E9D">
        <w:rPr>
          <w:rFonts w:ascii="Times New Roman" w:hAnsi="Times New Roman"/>
          <w:sz w:val="28"/>
          <w:szCs w:val="28"/>
        </w:rPr>
        <w:t>, которую следует принимать во внимание, поскольку это снижает порог ИАД, вызывающий клинические проявления</w:t>
      </w:r>
      <w:r>
        <w:rPr>
          <w:rFonts w:ascii="Times New Roman" w:hAnsi="Times New Roman"/>
          <w:sz w:val="28"/>
          <w:szCs w:val="28"/>
        </w:rPr>
        <w:t>.</w:t>
      </w: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Клиническая</w:t>
      </w:r>
      <w:bookmarkEnd w:id="9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картина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Клинические проявления патологии неспецифичны, включают нарушения со стороны разных органов и систем, свидетельствующие о развитии и прогрессировании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полиорганной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недостаточности. Данные о первых симптомах разнятся. Одни исследователи указывают, что синдром манифестирует напряжением брюшных мышц, увеличением объема живота, которые сочетаются с дыхательными расстройствами, уменьшением диуреза. Другие специалисты полагают, что дыхательные нарушения и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олигурия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опережают абдоминальную симптоматику.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Дыхание частое, поверхностное.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Олигурия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сменяется анурией. Отмечается учащение сердцебиения, снижение артериального давления при </w:t>
      </w: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неизмененном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либо повышенном ЦВД. Явления дыхательной, сердечной и почечной недостаточности быстро нарастают, при самостоятельном дыхании возникает необходимость перевода пациента на ИВЛ, требуется стимуляция диуреза, но использование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диуретиков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нередко не обеспечивает желаемого результата. При отсутствии декомпрессии наступает смерть от прогрессирующего нарушения деятельности жизненно важных органов.</w:t>
      </w:r>
    </w:p>
    <w:p w:rsidR="00ED0E9D" w:rsidRDefault="00ED0E9D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10" w:name="Диагностика"/>
    </w:p>
    <w:p w:rsidR="00ED0E9D" w:rsidRDefault="00ED0E9D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Диагностика</w:t>
      </w:r>
      <w:bookmarkEnd w:id="10"/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Раннее выявление пациентов группы риска является первым шагом в диагностике ИАГ и АКС. WSACS рекомендует проводить скрининг на ИАГ/АКС при наличии двух или более факторов риска. Рекомендация состоит в том, чтобы оценить ИАД на исходном уровне, и, если оно повышено, то ИАД необходимо продолжать контролировать каждые 4-6 часов.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Клиническое обследование, такое как пальпация и измерение окружности живота, оказалось крайне неточным и ненадежным в диагностике ИАГ и/или АКС. Радиографический ввод, такой как обычная рентгенография грудной клетки и/или живота, УЗИ брюшной полости, компьютерная томография и МРТ брюшной полости, также оказался ограниченным, поскольку результаты не являются ни чувствительными, ни специфичными для ИАГ и АКС. Тем не </w:t>
      </w: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менее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они могут продемонстрировать наличие возможной причины ИАГ, а также могут выявить воздействие ИАД (высокий уровень стояния диафрагмы, уплощение нижней полой вены, сжатие почечных вен и повышенное усиление стенки кишечника).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Когда комбинация рентгенологических данных сочетается с клинической картиной, тогда рентгенолог и врач-клиницист должны поднять вопрос </w:t>
      </w:r>
      <w:proofErr w:type="gram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о</w:t>
      </w:r>
      <w:proofErr w:type="gram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 возможной ИАГ и/или АКС в качестве дифференциального диагноза.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Лучшим методом установления или исключения факта ИАГ является измерение внутрибрюшного давления. Существуют прямые и косвенные способы определения ИАД. Прямое измерение внутрибрюшного давления может быть выполнено с помощью внутрибрюшинного катетера с датчиком давления. Методы косвенного измерения включают определение любого из следующих давлений:</w:t>
      </w:r>
    </w:p>
    <w:p w:rsidR="00ED0E9D" w:rsidRPr="00ED0E9D" w:rsidRDefault="00ED0E9D" w:rsidP="00ED0E9D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давление в нижней полой вене;</w:t>
      </w:r>
    </w:p>
    <w:p w:rsidR="00ED0E9D" w:rsidRPr="00ED0E9D" w:rsidRDefault="00ED0E9D" w:rsidP="00ED0E9D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внутрижелудочное давление;</w:t>
      </w:r>
    </w:p>
    <w:p w:rsidR="00ED0E9D" w:rsidRPr="00ED0E9D" w:rsidRDefault="00ED0E9D" w:rsidP="00ED0E9D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внутрикишечное давление;</w:t>
      </w:r>
    </w:p>
    <w:p w:rsidR="00ED0E9D" w:rsidRPr="00ED0E9D" w:rsidRDefault="00ED0E9D" w:rsidP="00ED0E9D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внутриматочное давление;</w:t>
      </w:r>
    </w:p>
    <w:p w:rsidR="00ED0E9D" w:rsidRPr="00ED0E9D" w:rsidRDefault="00ED0E9D" w:rsidP="00ED0E9D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внутрипузырное давление.</w:t>
      </w:r>
    </w:p>
    <w:p w:rsidR="00ED0E9D" w:rsidRPr="00ED0E9D" w:rsidRDefault="00ED0E9D" w:rsidP="00ED0E9D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 xml:space="preserve">В связи с положением мочевого пузыря в брюшной полости, внутрипузырный метод считается простым, точным и минимально </w:t>
      </w:r>
      <w:proofErr w:type="spellStart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инвазивным</w:t>
      </w:r>
      <w:proofErr w:type="spellEnd"/>
      <w:r w:rsidRPr="00ED0E9D">
        <w:rPr>
          <w:rFonts w:ascii="Times New Roman" w:hAnsi="Times New Roman"/>
          <w:color w:val="000000"/>
          <w:sz w:val="28"/>
          <w:shd w:val="clear" w:color="auto" w:fill="FFFFFF"/>
        </w:rPr>
        <w:t>; следовательно, это надежный и воспроизводимый способ измерения ИАД.</w:t>
      </w:r>
    </w:p>
    <w:p w:rsidR="001665C7" w:rsidRDefault="00C70701" w:rsidP="00AE67F0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11" w:name="Осложнения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Осложнения</w:t>
      </w:r>
      <w:bookmarkEnd w:id="11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</w:p>
    <w:p w:rsidR="00AE67F0" w:rsidRPr="00AE67F0" w:rsidRDefault="00AE67F0" w:rsidP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Характерными осложнениями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компартмент-синдрома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gram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возникшего</w:t>
      </w:r>
      <w:proofErr w:type="gram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после хирургических вмешательств, являются несостоятельность швов и анастомозов, нагноение ран. Возрастает вероятность образования внутрибрюшных абсцессов, перитонита, сепсиса. После проведения декомпрессионной лапаротомии у 90% больных формируются грыжи и кишечные свищи, у 22% образуются множественные лигатурные свищи.</w:t>
      </w:r>
    </w:p>
    <w:p w:rsidR="00AE67F0" w:rsidRPr="00AE67F0" w:rsidRDefault="00AE67F0" w:rsidP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Из-за нарушения функции легких повышается риск пневмонии. У некоторых пациентов с явлениями ОПН в отдаленном периоде развивается хроническая почечная недостаточность. Увеличивается продолжительность лечения основных заболеваний, отмечаются худшие функциональные исходы при травмах.</w:t>
      </w: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2" w:name="Лечение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Лечение</w:t>
      </w:r>
      <w:bookmarkEnd w:id="12"/>
    </w:p>
    <w:p w:rsidR="00AE67F0" w:rsidRPr="00AE67F0" w:rsidRDefault="00AE67F0" w:rsidP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Основным методом лечения АКС считается хирургическая декомпрессия, но показания к вмешательству пока точно не определены. В клинической практике часто используется алгоритм, согласно которому при 1 и 2 степени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интраабдоминальной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гипертензии рекомендуется наблюдение и коррекция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инфузионной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терапии, при 3 –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декомпрессивная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лапаротомия на фоне интенсивной терапии, при 4 – неотложная оперативная декомпрессия и реанимационные мероприятия.</w:t>
      </w:r>
    </w:p>
    <w:p w:rsidR="00AE67F0" w:rsidRPr="00AE67F0" w:rsidRDefault="00AE67F0" w:rsidP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При наличии асцита на начальном этапе возможно проведение пункции брюшной полости, лапароцентеза либо лапароскопии с последующим дренированием. Хирургическую декомпрессию выполняют в условиях операционной или отделения интенсивной терапии. Применяют поперечный или срединный разрез. В дальнейшем осуществляют ведение методом «открытого живота». При нормализации ВБД, отсутствии отека внутренних органов и окружающих тканей рану ушивают на 1-8 сутки. В остальных случаях производят отсроченное закрытие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лапаростомы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. Для снижения риска развития грыж устанавливают сетчатые трансплантаты.</w:t>
      </w:r>
    </w:p>
    <w:p w:rsidR="00AE67F0" w:rsidRPr="00AE67F0" w:rsidRDefault="00AE67F0" w:rsidP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Оперативные мероприятия осуществляют на фоне контроля жизненных показателей, ИВЛ, стимуляции диуреза, коррекции обменных расстройств, предупреждения </w:t>
      </w:r>
      <w:proofErr w:type="spellStart"/>
      <w:proofErr w:type="gram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сердечно-сосудистого</w:t>
      </w:r>
      <w:proofErr w:type="spellEnd"/>
      <w:proofErr w:type="gram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коллапса вследствие снижения периферического сосудистого сопротивления, профилактики сердечных нарушений, обусловленных поступлением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лактата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и калия в кровоток после устранения ишемии.</w:t>
      </w:r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3" w:name="Прогноз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Про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гноз</w:t>
      </w:r>
      <w:bookmarkEnd w:id="13"/>
      <w:r w:rsidR="00AE67F0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и профилактика</w:t>
      </w:r>
    </w:p>
    <w:p w:rsidR="00AE67F0" w:rsidRPr="00AE67F0" w:rsidRDefault="00AE67F0" w:rsidP="00AE67F0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4" w:name="Фармакоэкономические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Прогноз при </w:t>
      </w:r>
      <w:proofErr w:type="gram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абдоминальном</w:t>
      </w:r>
      <w:proofErr w:type="gram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компартмент-синдроме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определяется своевременностью проведения лечебных мероприятий. При оперативной декомпрессии в течение первых 6 часов после появления признаков АКС (до формирования развернутой картины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полиорганной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недостаточности) выживаемость составляет 80%. При поздних вмешательствах погибает 43-65% пациентов. При отсутствии мероприятий по декомпрессии летальность достигает 100%.</w:t>
      </w:r>
    </w:p>
    <w:p w:rsidR="001665C7" w:rsidRDefault="00AE67F0" w:rsidP="00AE67F0">
      <w:pPr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Профилактика включает врачебную настороженность при поступлении больных с риском формирования АКС, регулярное измерение ВГД, адекватную респираторную поддержку, корректную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инфузионную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терапию. Некоторые авторы предлагают не накладывать швы на апоневроз при тяжелых травмах живота и других патологиях, провоцирующих АКС, однако эта мера не всегда оказывается эффективной.</w:t>
      </w:r>
      <w:bookmarkEnd w:id="14"/>
    </w:p>
    <w:p w:rsidR="001665C7" w:rsidRDefault="00C70701">
      <w:pPr>
        <w:ind w:firstLine="72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5" w:name="Заключение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Заключение</w:t>
      </w:r>
      <w:bookmarkEnd w:id="15"/>
    </w:p>
    <w:p w:rsidR="001665C7" w:rsidRDefault="00AE67F0">
      <w:pPr>
        <w:ind w:firstLine="720"/>
        <w:rPr>
          <w:rFonts w:ascii="Times New Roman" w:hAnsi="Times New Roman"/>
          <w:color w:val="000000"/>
          <w:sz w:val="28"/>
          <w:shd w:val="clear" w:color="auto" w:fill="FFFFFF"/>
        </w:rPr>
      </w:pPr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Приведенные сведения свидетельствуют, что </w:t>
      </w:r>
      <w:proofErr w:type="gram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абдоминальный</w:t>
      </w:r>
      <w:proofErr w:type="gram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компартмент-синдром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является очень тяжелым осложнением травм и заболеваний органов брюшной полости и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забрюшинного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пространства. Его пусковым механизмом служит существенное повышение внутрибрюшного давления. Появление этого синдрома достоверно приводит к развитию патофизиологических изменений с формированием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полиорганной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недостаточности с очень высокой летальностью. При возникновении данного осложнения возможности спасти пациентов резко снижаются из-за стремительного развития органных нарушений, поэтому в группе больных с высоким риском возникновения абдоминального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компартментсиндрома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жизненно необходимы мониторинг внутрибрюшинного давления, адекватная </w:t>
      </w:r>
      <w:proofErr w:type="spellStart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>инфузионная</w:t>
      </w:r>
      <w:proofErr w:type="spellEnd"/>
      <w:r w:rsidRPr="00AE67F0">
        <w:rPr>
          <w:rFonts w:ascii="Times New Roman" w:hAnsi="Times New Roman"/>
          <w:color w:val="000000"/>
          <w:sz w:val="28"/>
          <w:shd w:val="clear" w:color="auto" w:fill="FFFFFF"/>
        </w:rPr>
        <w:t xml:space="preserve"> терапия, своевременная декомпрессия, выбор оптимального режима респираторной поддержки.</w:t>
      </w:r>
      <w:r w:rsidR="00C7070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bookmarkStart w:id="16" w:name="Список"/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6F3FBB" w:rsidRDefault="006F3FBB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1665C7" w:rsidRDefault="00C70701">
      <w:pPr>
        <w:ind w:firstLine="72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Список литературы</w:t>
      </w:r>
      <w:bookmarkEnd w:id="16"/>
    </w:p>
    <w:p w:rsidR="001665C7" w:rsidRPr="00AE67F0" w:rsidRDefault="00AE67F0" w:rsidP="00AE67F0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AE67F0">
        <w:rPr>
          <w:rFonts w:ascii="Times New Roman" w:hAnsi="Times New Roman"/>
          <w:color w:val="373737"/>
          <w:sz w:val="28"/>
          <w:szCs w:val="28"/>
        </w:rPr>
        <w:t xml:space="preserve">Абдоминальный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компартмент-синдром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>/ Овчинников В.А., Соколов В.А.// Современные технологии в медицине. – 2013.</w:t>
      </w:r>
    </w:p>
    <w:p w:rsidR="00AE67F0" w:rsidRPr="00AE67F0" w:rsidRDefault="00AE67F0" w:rsidP="00AE67F0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Интраабдоминальная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 гипертензия и абдоминальный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компартмент-синдром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: учебное пособие/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Тимербулатов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 Ш.В.,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Фаязов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 Р.Р.,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Смыр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 Р.А., </w:t>
      </w:r>
      <w:proofErr w:type="spellStart"/>
      <w:r w:rsidRPr="00AE67F0">
        <w:rPr>
          <w:rFonts w:ascii="Times New Roman" w:hAnsi="Times New Roman"/>
          <w:color w:val="373737"/>
          <w:sz w:val="28"/>
          <w:szCs w:val="28"/>
        </w:rPr>
        <w:t>Тимербулатов</w:t>
      </w:r>
      <w:proofErr w:type="spellEnd"/>
      <w:r w:rsidRPr="00AE67F0">
        <w:rPr>
          <w:rFonts w:ascii="Times New Roman" w:hAnsi="Times New Roman"/>
          <w:color w:val="373737"/>
          <w:sz w:val="28"/>
          <w:szCs w:val="28"/>
        </w:rPr>
        <w:t xml:space="preserve"> М.</w:t>
      </w:r>
      <w:proofErr w:type="gramStart"/>
      <w:r w:rsidRPr="00AE67F0">
        <w:rPr>
          <w:rFonts w:ascii="Times New Roman" w:hAnsi="Times New Roman"/>
          <w:color w:val="373737"/>
          <w:sz w:val="28"/>
          <w:szCs w:val="28"/>
        </w:rPr>
        <w:t>В</w:t>
      </w:r>
      <w:proofErr w:type="gramEnd"/>
      <w:r w:rsidRPr="00AE67F0">
        <w:rPr>
          <w:rFonts w:ascii="Times New Roman" w:hAnsi="Times New Roman"/>
          <w:color w:val="373737"/>
          <w:sz w:val="28"/>
          <w:szCs w:val="28"/>
        </w:rPr>
        <w:t>, Гареев Р.Н. — 2018.</w:t>
      </w:r>
    </w:p>
    <w:p w:rsidR="00AE67F0" w:rsidRPr="00AE67F0" w:rsidRDefault="00AE67F0" w:rsidP="00AE67F0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AE67F0">
        <w:rPr>
          <w:rFonts w:ascii="Times New Roman" w:hAnsi="Times New Roman"/>
          <w:sz w:val="28"/>
          <w:szCs w:val="28"/>
        </w:rPr>
        <w:t xml:space="preserve">Способ декомпрессии брюшной полости при лечении </w:t>
      </w:r>
      <w:proofErr w:type="gramStart"/>
      <w:r w:rsidRPr="00AE67F0">
        <w:rPr>
          <w:rFonts w:ascii="Times New Roman" w:hAnsi="Times New Roman"/>
          <w:sz w:val="28"/>
          <w:szCs w:val="28"/>
        </w:rPr>
        <w:t>абдоминального</w:t>
      </w:r>
      <w:proofErr w:type="gramEnd"/>
      <w:r w:rsidRPr="00AE6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7F0">
        <w:rPr>
          <w:rFonts w:ascii="Times New Roman" w:hAnsi="Times New Roman"/>
          <w:sz w:val="28"/>
          <w:szCs w:val="28"/>
        </w:rPr>
        <w:t>компартмент-синдрома</w:t>
      </w:r>
      <w:proofErr w:type="spellEnd"/>
      <w:r w:rsidRPr="00AE67F0">
        <w:rPr>
          <w:rFonts w:ascii="Times New Roman" w:hAnsi="Times New Roman"/>
          <w:sz w:val="28"/>
          <w:szCs w:val="28"/>
        </w:rPr>
        <w:t xml:space="preserve"> у больных деструктивным панкреатитом К.м.н. А.Г. МЫЛЬНИКОВ, к.м.н. А.Г. ПАНЬКОВ, к.м.н. Б.Т. ЧУРАДЗЕ, О.Ю. УСАЧЕВ, А.В. ШАБРИН, д.м.н., проф. С.Г. ШАПОВАЛЬЯНЦ – ХИРУРГИЯ 1, 2012</w:t>
      </w:r>
    </w:p>
    <w:p w:rsidR="001665C7" w:rsidRPr="00AE67F0" w:rsidRDefault="00AE67F0" w:rsidP="00AE67F0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hAnsi="Times New Roman"/>
          <w:color w:val="373737"/>
          <w:sz w:val="28"/>
          <w:szCs w:val="28"/>
        </w:rPr>
      </w:pPr>
      <w:r w:rsidRPr="00AE67F0">
        <w:rPr>
          <w:rFonts w:ascii="Times New Roman" w:hAnsi="Times New Roman"/>
          <w:sz w:val="28"/>
          <w:szCs w:val="28"/>
        </w:rPr>
        <w:t xml:space="preserve">Абдоминальный </w:t>
      </w:r>
      <w:proofErr w:type="spellStart"/>
      <w:r w:rsidRPr="00AE67F0">
        <w:rPr>
          <w:rFonts w:ascii="Times New Roman" w:hAnsi="Times New Roman"/>
          <w:sz w:val="28"/>
          <w:szCs w:val="28"/>
        </w:rPr>
        <w:t>компартмент-синдром</w:t>
      </w:r>
      <w:proofErr w:type="spellEnd"/>
      <w:r w:rsidRPr="00AE67F0">
        <w:rPr>
          <w:rFonts w:ascii="Times New Roman" w:hAnsi="Times New Roman"/>
          <w:sz w:val="28"/>
          <w:szCs w:val="28"/>
        </w:rPr>
        <w:t>. В.А. Овчинников, д.м.н., профессор, зав. кафедрой общей хирургии им. А.И. Кожевникова; В.А. Соколов, клинический ординатор кафедры общей хирургии им. А.И. Кожевникова - СТМ ∫ 2013 — 5(1)</w:t>
      </w:r>
    </w:p>
    <w:sectPr w:rsidR="001665C7" w:rsidRPr="00AE67F0" w:rsidSect="00730F72">
      <w:footerReference w:type="default" r:id="rId8"/>
      <w:pgSz w:w="12240" w:h="15840"/>
      <w:pgMar w:top="1133" w:right="850" w:bottom="1133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01" w:rsidRDefault="00C70701" w:rsidP="001665C7">
      <w:pPr>
        <w:spacing w:after="0" w:line="240" w:lineRule="auto"/>
      </w:pPr>
      <w:r>
        <w:separator/>
      </w:r>
    </w:p>
  </w:endnote>
  <w:endnote w:type="continuationSeparator" w:id="0">
    <w:p w:rsidR="00C70701" w:rsidRDefault="00C70701" w:rsidP="0016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C7" w:rsidRDefault="001665C7">
    <w:pPr>
      <w:jc w:val="right"/>
    </w:pPr>
    <w:r>
      <w:fldChar w:fldCharType="begin"/>
    </w:r>
    <w:r w:rsidR="00C70701">
      <w:instrText xml:space="preserve"> PAGE </w:instrText>
    </w:r>
    <w:r>
      <w:fldChar w:fldCharType="separate"/>
    </w:r>
    <w:r w:rsidR="006F3FB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01" w:rsidRDefault="00C70701" w:rsidP="001665C7">
      <w:pPr>
        <w:spacing w:after="0" w:line="240" w:lineRule="auto"/>
      </w:pPr>
      <w:r>
        <w:separator/>
      </w:r>
    </w:p>
  </w:footnote>
  <w:footnote w:type="continuationSeparator" w:id="0">
    <w:p w:rsidR="00C70701" w:rsidRDefault="00C70701" w:rsidP="0016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72F"/>
    <w:multiLevelType w:val="multilevel"/>
    <w:tmpl w:val="E54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E10E1"/>
    <w:multiLevelType w:val="multilevel"/>
    <w:tmpl w:val="636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ED1CB"/>
    <w:multiLevelType w:val="hybridMultilevel"/>
    <w:tmpl w:val="E3282406"/>
    <w:lvl w:ilvl="0" w:tplc="78792497">
      <w:start w:val="1"/>
      <w:numFmt w:val="decimal"/>
      <w:lvlText w:val="%1."/>
      <w:lvlJc w:val="left"/>
      <w:pPr>
        <w:ind w:left="720" w:hanging="360"/>
      </w:pPr>
    </w:lvl>
    <w:lvl w:ilvl="1" w:tplc="3D7C5B32">
      <w:start w:val="1"/>
      <w:numFmt w:val="decimal"/>
      <w:lvlText w:val="%2."/>
      <w:lvlJc w:val="left"/>
      <w:pPr>
        <w:ind w:left="1440" w:hanging="360"/>
      </w:pPr>
    </w:lvl>
    <w:lvl w:ilvl="2" w:tplc="139B3C3C">
      <w:start w:val="1"/>
      <w:numFmt w:val="decimal"/>
      <w:lvlText w:val="%3."/>
      <w:lvlJc w:val="left"/>
      <w:pPr>
        <w:ind w:left="2160" w:hanging="360"/>
      </w:pPr>
    </w:lvl>
    <w:lvl w:ilvl="3" w:tplc="67C7B924">
      <w:start w:val="1"/>
      <w:numFmt w:val="decimal"/>
      <w:lvlText w:val="%4."/>
      <w:lvlJc w:val="left"/>
      <w:pPr>
        <w:ind w:left="2880" w:hanging="360"/>
      </w:pPr>
    </w:lvl>
    <w:lvl w:ilvl="4" w:tplc="6DE8AEEA">
      <w:start w:val="1"/>
      <w:numFmt w:val="decimal"/>
      <w:lvlText w:val="%5."/>
      <w:lvlJc w:val="left"/>
      <w:pPr>
        <w:ind w:left="3600" w:hanging="360"/>
      </w:pPr>
    </w:lvl>
    <w:lvl w:ilvl="5" w:tplc="4DE20647">
      <w:start w:val="1"/>
      <w:numFmt w:val="decimal"/>
      <w:lvlText w:val="%6."/>
      <w:lvlJc w:val="left"/>
      <w:pPr>
        <w:ind w:left="4320" w:hanging="360"/>
      </w:pPr>
    </w:lvl>
    <w:lvl w:ilvl="6" w:tplc="5B8F6BBA">
      <w:start w:val="1"/>
      <w:numFmt w:val="decimal"/>
      <w:lvlText w:val="%7."/>
      <w:lvlJc w:val="left"/>
      <w:pPr>
        <w:ind w:left="5040" w:hanging="360"/>
      </w:pPr>
    </w:lvl>
    <w:lvl w:ilvl="7" w:tplc="28C3E1E8">
      <w:start w:val="1"/>
      <w:numFmt w:val="decimal"/>
      <w:lvlText w:val="%8."/>
      <w:lvlJc w:val="left"/>
      <w:pPr>
        <w:ind w:left="5760" w:hanging="360"/>
      </w:pPr>
    </w:lvl>
    <w:lvl w:ilvl="8" w:tplc="29C990D1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E2610D5"/>
    <w:multiLevelType w:val="multilevel"/>
    <w:tmpl w:val="E41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07502"/>
    <w:multiLevelType w:val="multilevel"/>
    <w:tmpl w:val="3DC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C343A"/>
    <w:multiLevelType w:val="multilevel"/>
    <w:tmpl w:val="A8F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C7"/>
    <w:rsid w:val="001665C7"/>
    <w:rsid w:val="006F3FBB"/>
    <w:rsid w:val="00730F72"/>
    <w:rsid w:val="00AE67F0"/>
    <w:rsid w:val="00C70701"/>
    <w:rsid w:val="00E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5C7"/>
  </w:style>
  <w:style w:type="paragraph" w:styleId="2">
    <w:name w:val="heading 2"/>
    <w:basedOn w:val="a"/>
    <w:rsid w:val="001665C7"/>
    <w:pPr>
      <w:ind w:left="1703" w:right="859"/>
      <w:jc w:val="center"/>
      <w:outlineLvl w:val="1"/>
    </w:pPr>
    <w:rPr>
      <w:sz w:val="28"/>
    </w:rPr>
  </w:style>
  <w:style w:type="paragraph" w:styleId="3">
    <w:name w:val="heading 3"/>
    <w:basedOn w:val="a"/>
    <w:rsid w:val="001665C7"/>
    <w:pPr>
      <w:spacing w:line="275" w:lineRule="exact"/>
      <w:ind w:left="1135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5C7"/>
  </w:style>
  <w:style w:type="character" w:customStyle="1" w:styleId="LineNumber">
    <w:name w:val="Line Number"/>
    <w:basedOn w:val="a0"/>
    <w:semiHidden/>
    <w:rsid w:val="001665C7"/>
  </w:style>
  <w:style w:type="character" w:styleId="a4">
    <w:name w:val="Hyperlink"/>
    <w:rsid w:val="001665C7"/>
    <w:rPr>
      <w:color w:val="0000FF"/>
      <w:u w:val="single"/>
    </w:rPr>
  </w:style>
  <w:style w:type="table" w:styleId="1">
    <w:name w:val="Table Simple 1"/>
    <w:basedOn w:val="a1"/>
    <w:rsid w:val="001665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E67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128C-ED01-480C-A122-1329BF85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79135</cp:lastModifiedBy>
  <cp:revision>3</cp:revision>
  <dcterms:created xsi:type="dcterms:W3CDTF">2023-10-15T06:02:00Z</dcterms:created>
  <dcterms:modified xsi:type="dcterms:W3CDTF">2023-10-15T06:43:00Z</dcterms:modified>
</cp:coreProperties>
</file>