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ФГБОУ ВО </w:t>
      </w:r>
      <w:proofErr w:type="spellStart"/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КрасГМУ</w:t>
      </w:r>
      <w:proofErr w:type="spellEnd"/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им. проф. В.Ф. </w:t>
      </w:r>
      <w:proofErr w:type="spellStart"/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Войно-Ясенецкого</w:t>
      </w:r>
      <w:proofErr w:type="spellEnd"/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Минздрава России</w:t>
      </w:r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Кафедра внутренних болезней и иммунологии с курсом </w:t>
      </w:r>
      <w:proofErr w:type="gramStart"/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gramEnd"/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Реферат</w:t>
      </w:r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Депрессии кроветворения</w:t>
      </w: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Выполнила: ординатор 1 года </w:t>
      </w:r>
    </w:p>
    <w:p w:rsidR="004B5212" w:rsidRPr="006D47EE" w:rsidRDefault="004B5212" w:rsidP="0024243F">
      <w:pPr>
        <w:spacing w:line="36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специальности терапия </w:t>
      </w:r>
    </w:p>
    <w:p w:rsidR="004B5212" w:rsidRPr="006D47EE" w:rsidRDefault="004B5212" w:rsidP="0024243F">
      <w:pPr>
        <w:spacing w:line="360" w:lineRule="auto"/>
        <w:ind w:left="36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D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Торгунакова</w:t>
      </w:r>
      <w:proofErr w:type="spellEnd"/>
      <w:r w:rsidRPr="006D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М.С.</w:t>
      </w: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B5212" w:rsidRPr="006D47EE" w:rsidRDefault="004B5212" w:rsidP="0024243F">
      <w:pPr>
        <w:spacing w:line="36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D47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Красноярск, 2020г</w:t>
      </w:r>
    </w:p>
    <w:p w:rsidR="00816D59" w:rsidRPr="006D47EE" w:rsidRDefault="00816D59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07949144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9D6EA9" w:rsidRDefault="009D6EA9">
          <w:pPr>
            <w:pStyle w:val="a7"/>
            <w:rPr>
              <w:rFonts w:ascii="Times New Roman" w:hAnsi="Times New Roman" w:cs="Times New Roman"/>
              <w:lang w:val="en-US"/>
            </w:rPr>
          </w:pPr>
          <w:r w:rsidRPr="009D6EA9">
            <w:rPr>
              <w:rFonts w:ascii="Times New Roman" w:hAnsi="Times New Roman" w:cs="Times New Roman"/>
            </w:rPr>
            <w:t>Оглавление</w:t>
          </w:r>
        </w:p>
        <w:p w:rsidR="009D6EA9" w:rsidRPr="009D6EA9" w:rsidRDefault="009D6EA9" w:rsidP="009D6EA9">
          <w:pPr>
            <w:rPr>
              <w:lang w:val="en-US" w:eastAsia="ru-RU"/>
            </w:rPr>
          </w:pPr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D6EA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D6EA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D6EA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432301" w:history="1"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Депрессии кроветворения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_Toc39432301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2" w:history="1">
            <w:r w:rsidRPr="009D6EA9">
              <w:rPr>
                <w:rStyle w:val="a8"/>
                <w:rFonts w:ascii="Times New Roman" w:hAnsi="Times New Roman" w:cs="Times New Roman"/>
                <w:iCs/>
                <w:noProof/>
                <w:spacing w:val="15"/>
                <w:sz w:val="28"/>
                <w:szCs w:val="28"/>
              </w:rPr>
              <w:t>В12-дефицитная анемия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_Toc39432302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3" w:history="1"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Апластические анемии</w:t>
            </w:r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(АА)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_Toc39432303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4" w:history="1"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Наследственный сфероцитоз (болезнь Минковского–Шоффара)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_Toc39432304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5" w:history="1">
            <w:r w:rsidRPr="009D6EA9">
              <w:rPr>
                <w:rStyle w:val="a8"/>
                <w:rFonts w:ascii="Times New Roman" w:hAnsi="Times New Roman" w:cs="Times New Roman"/>
                <w:iCs/>
                <w:noProof/>
                <w:spacing w:val="15"/>
                <w:sz w:val="28"/>
                <w:szCs w:val="28"/>
              </w:rPr>
              <w:t>Анемия, обусловленная дефицитом фермента глюкозо-6-фосфатдегидрогеназы в мембране эритроцитов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_Toc39432305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6" w:history="1"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Серповидноклеточная анемия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_Toc39432306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7" w:history="1">
            <w:r w:rsidRPr="009D6EA9">
              <w:rPr>
                <w:rStyle w:val="a8"/>
                <w:rFonts w:ascii="Times New Roman" w:hAnsi="Times New Roman" w:cs="Times New Roman"/>
                <w:iCs/>
                <w:noProof/>
                <w:spacing w:val="15"/>
                <w:sz w:val="28"/>
                <w:szCs w:val="28"/>
              </w:rPr>
              <w:t>Лекарственно-обусловленные иммунные гемолитические анемии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_Toc39432307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9432308" w:history="1">
            <w:r w:rsidRPr="009D6E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_Toc39432308 \h </w:instrTex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9D6E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6EA9" w:rsidRPr="009D6EA9" w:rsidRDefault="009D6EA9">
          <w:pPr>
            <w:rPr>
              <w:rFonts w:ascii="Times New Roman" w:hAnsi="Times New Roman" w:cs="Times New Roman"/>
              <w:sz w:val="28"/>
              <w:szCs w:val="28"/>
            </w:rPr>
          </w:pPr>
          <w:r w:rsidRPr="009D6EA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B5212" w:rsidRPr="009D6EA9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9D6EA9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212" w:rsidRPr="006D47EE" w:rsidRDefault="004B5212" w:rsidP="002424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43F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9432301"/>
      <w:bookmarkStart w:id="1" w:name="_GoBack"/>
      <w:bookmarkEnd w:id="1"/>
      <w:r w:rsidRPr="006D47EE">
        <w:rPr>
          <w:rStyle w:val="10"/>
          <w:rFonts w:ascii="Times New Roman" w:hAnsi="Times New Roman" w:cs="Times New Roman"/>
        </w:rPr>
        <w:lastRenderedPageBreak/>
        <w:t>Депрессии кроветворения</w:t>
      </w:r>
      <w:bookmarkEnd w:id="0"/>
      <w:r w:rsidRPr="006D47EE">
        <w:rPr>
          <w:rFonts w:ascii="Times New Roman" w:hAnsi="Times New Roman" w:cs="Times New Roman"/>
          <w:sz w:val="28"/>
          <w:szCs w:val="28"/>
        </w:rPr>
        <w:t xml:space="preserve"> — группа заболеваний и патологических состояний, характеризующихся уменьшением количества клеток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 Классификация депрессий кроветворения не разработана; четко выделяют приобретенные и наследственные формы. Условно различают также одно-, дву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трехростковые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 депрессии кроветворения , обусловленные поражением ростков костного мозга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эритроцитарного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гранулоцитарного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). В тех случаях, когда уменьшается количество кроветворных клеток костного мозга, говорят о костномозговой гипоплазии, а когда уменьшается количество клеток крови — о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цитопении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</w:t>
      </w:r>
    </w:p>
    <w:p w:rsidR="00C43114" w:rsidRDefault="00C43114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3114">
        <w:rPr>
          <w:rFonts w:ascii="Times New Roman" w:hAnsi="Times New Roman" w:cs="Times New Roman"/>
          <w:sz w:val="28"/>
        </w:rPr>
        <w:t xml:space="preserve">Наиболее частой причиной </w:t>
      </w:r>
      <w:r w:rsidRPr="00C43114">
        <w:rPr>
          <w:rFonts w:ascii="Times New Roman" w:hAnsi="Times New Roman" w:cs="Times New Roman"/>
          <w:b/>
          <w:sz w:val="28"/>
        </w:rPr>
        <w:t>абсолютной недостаточности костномозгового кроветворения</w:t>
      </w:r>
      <w:r w:rsidRPr="00C43114">
        <w:rPr>
          <w:rFonts w:ascii="Times New Roman" w:hAnsi="Times New Roman" w:cs="Times New Roman"/>
          <w:sz w:val="28"/>
        </w:rPr>
        <w:t xml:space="preserve"> является дефицит метаболических факторов (железа, витамина В12 и фолиевой кислоты). Они необходимы для синтеза гемоглобина и образования клеток крови, прежде всего эритроцитов. При дефиците витаминов В12 и фолиевой кислоты нарушается процесс нормального деления гемопоэтических клеток, что приводит, помимо анемии, к </w:t>
      </w:r>
      <w:proofErr w:type="spellStart"/>
      <w:r w:rsidRPr="00C43114">
        <w:rPr>
          <w:rFonts w:ascii="Times New Roman" w:hAnsi="Times New Roman" w:cs="Times New Roman"/>
          <w:sz w:val="28"/>
        </w:rPr>
        <w:t>нейтропении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и тромбоцитопении. Дефицитные анемии — самая частая патология среди болезней крови. </w:t>
      </w:r>
    </w:p>
    <w:p w:rsidR="00C43114" w:rsidRDefault="00C43114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3114">
        <w:rPr>
          <w:rFonts w:ascii="Times New Roman" w:hAnsi="Times New Roman" w:cs="Times New Roman"/>
          <w:sz w:val="28"/>
        </w:rPr>
        <w:t xml:space="preserve"> Второй причиной абсолютной недостаточности костномозгового кроветворения являются патологические нарушения самого </w:t>
      </w:r>
      <w:proofErr w:type="spellStart"/>
      <w:r w:rsidRPr="00C43114">
        <w:rPr>
          <w:rFonts w:ascii="Times New Roman" w:hAnsi="Times New Roman" w:cs="Times New Roman"/>
          <w:sz w:val="28"/>
        </w:rPr>
        <w:t>гемопоэза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, к которым относятся аплазия, метаплазия и дисплазия кроветворения. Патологические нарушения касаются собственно процесса кроветворения и, как правило, проявляют себя не одноростковыми (анемия или </w:t>
      </w:r>
      <w:proofErr w:type="spellStart"/>
      <w:r w:rsidRPr="00C43114">
        <w:rPr>
          <w:rFonts w:ascii="Times New Roman" w:hAnsi="Times New Roman" w:cs="Times New Roman"/>
          <w:sz w:val="28"/>
        </w:rPr>
        <w:t>нейтропения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или тромбоцитопения), а дву</w:t>
      </w:r>
      <w:proofErr w:type="gramStart"/>
      <w:r w:rsidRPr="00C43114">
        <w:rPr>
          <w:rFonts w:ascii="Times New Roman" w:hAnsi="Times New Roman" w:cs="Times New Roman"/>
          <w:sz w:val="28"/>
        </w:rPr>
        <w:t>х-</w:t>
      </w:r>
      <w:proofErr w:type="gramEnd"/>
      <w:r w:rsidRPr="00C431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43114">
        <w:rPr>
          <w:rFonts w:ascii="Times New Roman" w:hAnsi="Times New Roman" w:cs="Times New Roman"/>
          <w:sz w:val="28"/>
        </w:rPr>
        <w:t>трехростковыми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114">
        <w:rPr>
          <w:rFonts w:ascii="Times New Roman" w:hAnsi="Times New Roman" w:cs="Times New Roman"/>
          <w:sz w:val="28"/>
        </w:rPr>
        <w:t>цитопениями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. </w:t>
      </w:r>
    </w:p>
    <w:p w:rsidR="00C43114" w:rsidRDefault="00C43114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3114">
        <w:rPr>
          <w:rFonts w:ascii="Times New Roman" w:hAnsi="Times New Roman" w:cs="Times New Roman"/>
          <w:sz w:val="28"/>
        </w:rPr>
        <w:t xml:space="preserve">Аплазия — снижение содержания гемопоэтической ткани (красного костного мозга) в костномозговых полостях с замещением ее жировой тканью (желтым костным мозгом) в результате уменьшения (гибели) нормальных, неизмененных </w:t>
      </w:r>
      <w:proofErr w:type="spellStart"/>
      <w:r w:rsidRPr="00C43114">
        <w:rPr>
          <w:rFonts w:ascii="Times New Roman" w:hAnsi="Times New Roman" w:cs="Times New Roman"/>
          <w:sz w:val="28"/>
        </w:rPr>
        <w:t>мультипотентных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ГСК. </w:t>
      </w:r>
    </w:p>
    <w:p w:rsidR="00C43114" w:rsidRDefault="00C43114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3114">
        <w:rPr>
          <w:rFonts w:ascii="Times New Roman" w:hAnsi="Times New Roman" w:cs="Times New Roman"/>
          <w:sz w:val="28"/>
        </w:rPr>
        <w:lastRenderedPageBreak/>
        <w:t xml:space="preserve">Метаплазия кроветворения подразумевает уменьшение плацдарма нормального </w:t>
      </w:r>
      <w:proofErr w:type="spellStart"/>
      <w:r w:rsidRPr="00C43114">
        <w:rPr>
          <w:rFonts w:ascii="Times New Roman" w:hAnsi="Times New Roman" w:cs="Times New Roman"/>
          <w:sz w:val="28"/>
        </w:rPr>
        <w:t>гемопоэза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в костномозговых полостях в результате появления и роста там опухолевого </w:t>
      </w:r>
      <w:proofErr w:type="spellStart"/>
      <w:r w:rsidRPr="00C43114">
        <w:rPr>
          <w:rFonts w:ascii="Times New Roman" w:hAnsi="Times New Roman" w:cs="Times New Roman"/>
          <w:sz w:val="28"/>
        </w:rPr>
        <w:t>клонального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кроветворения (острый лейкоз, множественная миелома, далеко зашедшие стадии хронических лейкозов) в сочетании с возможным избыточным ростом фиброзной ткани (первичный (идиопатический) </w:t>
      </w:r>
      <w:proofErr w:type="spellStart"/>
      <w:r w:rsidRPr="00C43114">
        <w:rPr>
          <w:rFonts w:ascii="Times New Roman" w:hAnsi="Times New Roman" w:cs="Times New Roman"/>
          <w:sz w:val="28"/>
        </w:rPr>
        <w:t>миелофиброз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и др. хронические </w:t>
      </w:r>
      <w:proofErr w:type="spellStart"/>
      <w:r w:rsidRPr="00C43114">
        <w:rPr>
          <w:rFonts w:ascii="Times New Roman" w:hAnsi="Times New Roman" w:cs="Times New Roman"/>
          <w:sz w:val="28"/>
        </w:rPr>
        <w:t>миелопролиферативные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заболевания и </w:t>
      </w:r>
      <w:proofErr w:type="spellStart"/>
      <w:r w:rsidRPr="00C43114">
        <w:rPr>
          <w:rFonts w:ascii="Times New Roman" w:hAnsi="Times New Roman" w:cs="Times New Roman"/>
          <w:sz w:val="28"/>
        </w:rPr>
        <w:t>лимфомы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). </w:t>
      </w:r>
    </w:p>
    <w:p w:rsidR="00C43114" w:rsidRDefault="00C43114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3114">
        <w:rPr>
          <w:rFonts w:ascii="Times New Roman" w:hAnsi="Times New Roman" w:cs="Times New Roman"/>
          <w:sz w:val="28"/>
        </w:rPr>
        <w:t xml:space="preserve">Дисплазия кроветворения также сопряжена с </w:t>
      </w:r>
      <w:proofErr w:type="spellStart"/>
      <w:r w:rsidRPr="00C43114">
        <w:rPr>
          <w:rFonts w:ascii="Times New Roman" w:hAnsi="Times New Roman" w:cs="Times New Roman"/>
          <w:sz w:val="28"/>
        </w:rPr>
        <w:t>клональным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повреждением </w:t>
      </w:r>
      <w:proofErr w:type="spellStart"/>
      <w:r w:rsidRPr="00C43114">
        <w:rPr>
          <w:rFonts w:ascii="Times New Roman" w:hAnsi="Times New Roman" w:cs="Times New Roman"/>
          <w:sz w:val="28"/>
        </w:rPr>
        <w:t>мультипотентной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ГСК. Особенностями возникающего при этом </w:t>
      </w:r>
      <w:proofErr w:type="spellStart"/>
      <w:r w:rsidRPr="00C43114">
        <w:rPr>
          <w:rFonts w:ascii="Times New Roman" w:hAnsi="Times New Roman" w:cs="Times New Roman"/>
          <w:sz w:val="28"/>
        </w:rPr>
        <w:t>клонального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114">
        <w:rPr>
          <w:rFonts w:ascii="Times New Roman" w:hAnsi="Times New Roman" w:cs="Times New Roman"/>
          <w:sz w:val="28"/>
        </w:rPr>
        <w:t>гемопоэза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являются наличие морфологических признаков дисплазии в ростках кроветворения и повышенная преждевременная гибель клеток-предшественников в костном мозге вследствие </w:t>
      </w:r>
      <w:proofErr w:type="spellStart"/>
      <w:r w:rsidRPr="00C43114">
        <w:rPr>
          <w:rFonts w:ascii="Times New Roman" w:hAnsi="Times New Roman" w:cs="Times New Roman"/>
          <w:sz w:val="28"/>
        </w:rPr>
        <w:t>апоптоза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(неэффективный </w:t>
      </w:r>
      <w:proofErr w:type="spellStart"/>
      <w:r w:rsidRPr="00C43114">
        <w:rPr>
          <w:rFonts w:ascii="Times New Roman" w:hAnsi="Times New Roman" w:cs="Times New Roman"/>
          <w:sz w:val="28"/>
        </w:rPr>
        <w:t>гемопоэз</w:t>
      </w:r>
      <w:proofErr w:type="spellEnd"/>
      <w:r w:rsidRPr="00C43114">
        <w:rPr>
          <w:rFonts w:ascii="Times New Roman" w:hAnsi="Times New Roman" w:cs="Times New Roman"/>
          <w:sz w:val="28"/>
        </w:rPr>
        <w:t>), приводящая к рефрактерным одно-, дву</w:t>
      </w:r>
      <w:proofErr w:type="gramStart"/>
      <w:r w:rsidRPr="00C43114">
        <w:rPr>
          <w:rFonts w:ascii="Times New Roman" w:hAnsi="Times New Roman" w:cs="Times New Roman"/>
          <w:sz w:val="28"/>
        </w:rPr>
        <w:t>х-</w:t>
      </w:r>
      <w:proofErr w:type="gramEnd"/>
      <w:r w:rsidRPr="00C4311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43114">
        <w:rPr>
          <w:rFonts w:ascii="Times New Roman" w:hAnsi="Times New Roman" w:cs="Times New Roman"/>
          <w:sz w:val="28"/>
        </w:rPr>
        <w:t>трехростковым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3114">
        <w:rPr>
          <w:rFonts w:ascii="Times New Roman" w:hAnsi="Times New Roman" w:cs="Times New Roman"/>
          <w:sz w:val="28"/>
        </w:rPr>
        <w:t>цитопениям</w:t>
      </w:r>
      <w:proofErr w:type="spellEnd"/>
      <w:r w:rsidRPr="00C43114">
        <w:rPr>
          <w:rFonts w:ascii="Times New Roman" w:hAnsi="Times New Roman" w:cs="Times New Roman"/>
          <w:sz w:val="28"/>
        </w:rPr>
        <w:t>.</w:t>
      </w:r>
    </w:p>
    <w:p w:rsidR="00C43114" w:rsidRDefault="00C43114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C43114">
        <w:rPr>
          <w:rFonts w:ascii="Times New Roman" w:hAnsi="Times New Roman" w:cs="Times New Roman"/>
          <w:sz w:val="28"/>
        </w:rPr>
        <w:t xml:space="preserve"> Дисплазия кроветворения — это </w:t>
      </w:r>
      <w:proofErr w:type="spellStart"/>
      <w:r w:rsidRPr="00C43114">
        <w:rPr>
          <w:rFonts w:ascii="Times New Roman" w:hAnsi="Times New Roman" w:cs="Times New Roman"/>
          <w:sz w:val="28"/>
        </w:rPr>
        <w:t>предлейкоз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, процесс с уже состоявшейся недостаточностью выработки зрелых клеток крови, но еще без выраженной продукции опухолевых </w:t>
      </w:r>
      <w:proofErr w:type="spellStart"/>
      <w:r w:rsidRPr="00C43114">
        <w:rPr>
          <w:rFonts w:ascii="Times New Roman" w:hAnsi="Times New Roman" w:cs="Times New Roman"/>
          <w:sz w:val="28"/>
        </w:rPr>
        <w:t>бластов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. Эволюционным исходом дисплазии является трансформация в острый лейкоз. Третьей причиной снижения продукции клеток крови костным мозгом бывает нарушение процесса регуляции кроветворения. Для адекватного кровообразования, прежде всего </w:t>
      </w:r>
      <w:proofErr w:type="spellStart"/>
      <w:r w:rsidRPr="00C43114">
        <w:rPr>
          <w:rFonts w:ascii="Times New Roman" w:hAnsi="Times New Roman" w:cs="Times New Roman"/>
          <w:sz w:val="28"/>
        </w:rPr>
        <w:t>эритропоэза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, кроме метаболических факторов, неповрежденной гемопоэтической ткани необходимы цитокины, активирующие процесс дифференцировки клеток. Наиболее ярким примером роли </w:t>
      </w:r>
      <w:proofErr w:type="spellStart"/>
      <w:r w:rsidRPr="00C43114">
        <w:rPr>
          <w:rFonts w:ascii="Times New Roman" w:hAnsi="Times New Roman" w:cs="Times New Roman"/>
          <w:sz w:val="28"/>
        </w:rPr>
        <w:t>цитокиновой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регуляции </w:t>
      </w:r>
      <w:proofErr w:type="spellStart"/>
      <w:r w:rsidRPr="00C43114">
        <w:rPr>
          <w:rFonts w:ascii="Times New Roman" w:hAnsi="Times New Roman" w:cs="Times New Roman"/>
          <w:sz w:val="28"/>
        </w:rPr>
        <w:t>гемопоэза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служит эндогенный </w:t>
      </w:r>
      <w:proofErr w:type="spellStart"/>
      <w:r w:rsidRPr="00C43114">
        <w:rPr>
          <w:rFonts w:ascii="Times New Roman" w:hAnsi="Times New Roman" w:cs="Times New Roman"/>
          <w:sz w:val="28"/>
        </w:rPr>
        <w:t>эритропоэтин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, вырабатываемый на 85% почками, без </w:t>
      </w:r>
      <w:proofErr w:type="gramStart"/>
      <w:r w:rsidRPr="00C43114">
        <w:rPr>
          <w:rFonts w:ascii="Times New Roman" w:hAnsi="Times New Roman" w:cs="Times New Roman"/>
          <w:sz w:val="28"/>
        </w:rPr>
        <w:t>которого</w:t>
      </w:r>
      <w:proofErr w:type="gramEnd"/>
      <w:r w:rsidRPr="00C43114">
        <w:rPr>
          <w:rFonts w:ascii="Times New Roman" w:hAnsi="Times New Roman" w:cs="Times New Roman"/>
          <w:sz w:val="28"/>
        </w:rPr>
        <w:t xml:space="preserve"> невозможен нормальный процесс </w:t>
      </w:r>
      <w:proofErr w:type="spellStart"/>
      <w:r w:rsidRPr="00C43114">
        <w:rPr>
          <w:rFonts w:ascii="Times New Roman" w:hAnsi="Times New Roman" w:cs="Times New Roman"/>
          <w:sz w:val="28"/>
        </w:rPr>
        <w:t>эритропоэза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. Относительная недостаточность костномозгового кроветворения имеет место при наличии процессов повышенного разрушения клеток крови вследствие их внутренних дефектов (наследственные гемолитические анемии, </w:t>
      </w:r>
      <w:proofErr w:type="spellStart"/>
      <w:r w:rsidRPr="00C43114">
        <w:rPr>
          <w:rFonts w:ascii="Times New Roman" w:hAnsi="Times New Roman" w:cs="Times New Roman"/>
          <w:sz w:val="28"/>
        </w:rPr>
        <w:t>нейтропении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) или под действием различных иммунных и </w:t>
      </w:r>
      <w:proofErr w:type="spellStart"/>
      <w:r w:rsidRPr="00C43114">
        <w:rPr>
          <w:rFonts w:ascii="Times New Roman" w:hAnsi="Times New Roman" w:cs="Times New Roman"/>
          <w:sz w:val="28"/>
        </w:rPr>
        <w:t>неиммунных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</w:t>
      </w:r>
      <w:r w:rsidRPr="00C43114">
        <w:rPr>
          <w:rFonts w:ascii="Times New Roman" w:hAnsi="Times New Roman" w:cs="Times New Roman"/>
          <w:sz w:val="28"/>
        </w:rPr>
        <w:lastRenderedPageBreak/>
        <w:t xml:space="preserve">повреждающих факторов (приобретенные гемолитические анемии, тромбоцитопении, </w:t>
      </w:r>
      <w:proofErr w:type="spellStart"/>
      <w:r w:rsidRPr="00C43114">
        <w:rPr>
          <w:rFonts w:ascii="Times New Roman" w:hAnsi="Times New Roman" w:cs="Times New Roman"/>
          <w:sz w:val="28"/>
        </w:rPr>
        <w:t>нейтропении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). В случаях повышенного распада клеток крови костный мозг </w:t>
      </w:r>
      <w:proofErr w:type="spellStart"/>
      <w:r w:rsidRPr="00C43114">
        <w:rPr>
          <w:rFonts w:ascii="Times New Roman" w:hAnsi="Times New Roman" w:cs="Times New Roman"/>
          <w:sz w:val="28"/>
        </w:rPr>
        <w:t>компенсаторно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усиливает их продукцию. Однако скорость производства клеток крови оказывается недостаточной, чтобы компенсировать их распад. В результате развивается </w:t>
      </w:r>
      <w:proofErr w:type="spellStart"/>
      <w:r w:rsidRPr="00C43114">
        <w:rPr>
          <w:rFonts w:ascii="Times New Roman" w:hAnsi="Times New Roman" w:cs="Times New Roman"/>
          <w:sz w:val="28"/>
        </w:rPr>
        <w:t>цитопеническое</w:t>
      </w:r>
      <w:proofErr w:type="spellEnd"/>
      <w:r w:rsidRPr="00C43114">
        <w:rPr>
          <w:rFonts w:ascii="Times New Roman" w:hAnsi="Times New Roman" w:cs="Times New Roman"/>
          <w:sz w:val="28"/>
        </w:rPr>
        <w:t xml:space="preserve"> состояние. Кроме того, следует помнить, что у больных с заболеваниями крови недостаточность костномозгового кроветворения может носить миелотоксический характер и быть обусловленной действием противоопухолевой терапии, прежде всего цитостатической.</w:t>
      </w:r>
    </w:p>
    <w:p w:rsidR="008555F2" w:rsidRDefault="008555F2" w:rsidP="009D6EA9">
      <w:pPr>
        <w:pStyle w:val="1"/>
        <w:rPr>
          <w:rFonts w:ascii="Times New Roman" w:hAnsi="Times New Roman" w:cs="Times New Roman"/>
          <w:lang w:val="en-US"/>
        </w:rPr>
      </w:pPr>
      <w:bookmarkStart w:id="2" w:name="_Toc39432302"/>
      <w:r w:rsidRPr="008555F2">
        <w:rPr>
          <w:rStyle w:val="a5"/>
        </w:rPr>
        <w:t>В12-дефицитная анемия</w:t>
      </w:r>
      <w:bookmarkEnd w:id="2"/>
      <w:r w:rsidRPr="008555F2">
        <w:rPr>
          <w:rFonts w:ascii="Times New Roman" w:hAnsi="Times New Roman" w:cs="Times New Roman"/>
        </w:rPr>
        <w:t xml:space="preserve"> 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Это анемия с </w:t>
      </w:r>
      <w:proofErr w:type="spellStart"/>
      <w:r w:rsidRPr="008555F2">
        <w:rPr>
          <w:rFonts w:ascii="Times New Roman" w:hAnsi="Times New Roman" w:cs="Times New Roman"/>
          <w:sz w:val="28"/>
        </w:rPr>
        <w:t>мегалобластическим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типом </w:t>
      </w:r>
      <w:proofErr w:type="spellStart"/>
      <w:r w:rsidRPr="008555F2">
        <w:rPr>
          <w:rFonts w:ascii="Times New Roman" w:hAnsi="Times New Roman" w:cs="Times New Roman"/>
          <w:sz w:val="28"/>
        </w:rPr>
        <w:t>эритропоэза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возникающим в результате дефицита витамина В12. Отличительными чертами В12-дефицитной анемии кроме </w:t>
      </w:r>
      <w:proofErr w:type="spellStart"/>
      <w:r w:rsidRPr="008555F2">
        <w:rPr>
          <w:rFonts w:ascii="Times New Roman" w:hAnsi="Times New Roman" w:cs="Times New Roman"/>
          <w:sz w:val="28"/>
        </w:rPr>
        <w:t>мегалобластического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55F2">
        <w:rPr>
          <w:rFonts w:ascii="Times New Roman" w:hAnsi="Times New Roman" w:cs="Times New Roman"/>
          <w:sz w:val="28"/>
        </w:rPr>
        <w:t>эритропоэза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являются: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 • высокая частота у пожилых пациентов; 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• </w:t>
      </w:r>
      <w:proofErr w:type="spellStart"/>
      <w:r w:rsidRPr="008555F2">
        <w:rPr>
          <w:rFonts w:ascii="Times New Roman" w:hAnsi="Times New Roman" w:cs="Times New Roman"/>
          <w:sz w:val="28"/>
        </w:rPr>
        <w:t>трехростковая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55F2">
        <w:rPr>
          <w:rFonts w:ascii="Times New Roman" w:hAnsi="Times New Roman" w:cs="Times New Roman"/>
          <w:sz w:val="28"/>
        </w:rPr>
        <w:t>цитопения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в периферической крови, </w:t>
      </w:r>
      <w:proofErr w:type="spellStart"/>
      <w:r w:rsidRPr="008555F2">
        <w:rPr>
          <w:rFonts w:ascii="Times New Roman" w:hAnsi="Times New Roman" w:cs="Times New Roman"/>
          <w:sz w:val="28"/>
        </w:rPr>
        <w:t>макроцитоз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555F2">
        <w:rPr>
          <w:rFonts w:ascii="Times New Roman" w:hAnsi="Times New Roman" w:cs="Times New Roman"/>
          <w:sz w:val="28"/>
        </w:rPr>
        <w:t>гиперхромия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эритроцитов; 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• наличие симптомов </w:t>
      </w:r>
      <w:proofErr w:type="gramStart"/>
      <w:r w:rsidRPr="008555F2">
        <w:rPr>
          <w:rFonts w:ascii="Times New Roman" w:hAnsi="Times New Roman" w:cs="Times New Roman"/>
          <w:sz w:val="28"/>
        </w:rPr>
        <w:t>неэффективного</w:t>
      </w:r>
      <w:proofErr w:type="gramEnd"/>
      <w:r w:rsidRPr="008555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55F2">
        <w:rPr>
          <w:rFonts w:ascii="Times New Roman" w:hAnsi="Times New Roman" w:cs="Times New Roman"/>
          <w:sz w:val="28"/>
        </w:rPr>
        <w:t>эритропоэза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8555F2">
        <w:rPr>
          <w:rFonts w:ascii="Times New Roman" w:hAnsi="Times New Roman" w:cs="Times New Roman"/>
          <w:sz w:val="28"/>
        </w:rPr>
        <w:t>внутрикостномозговым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разрушением </w:t>
      </w:r>
      <w:proofErr w:type="spellStart"/>
      <w:r w:rsidRPr="008555F2">
        <w:rPr>
          <w:rFonts w:ascii="Times New Roman" w:hAnsi="Times New Roman" w:cs="Times New Roman"/>
          <w:sz w:val="28"/>
        </w:rPr>
        <w:t>эритрокариоцитов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; 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• изменения нервной системы по типу </w:t>
      </w:r>
      <w:proofErr w:type="spellStart"/>
      <w:r w:rsidRPr="008555F2">
        <w:rPr>
          <w:rFonts w:ascii="Times New Roman" w:hAnsi="Times New Roman" w:cs="Times New Roman"/>
          <w:sz w:val="28"/>
        </w:rPr>
        <w:t>фуникулярного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55F2">
        <w:rPr>
          <w:rFonts w:ascii="Times New Roman" w:hAnsi="Times New Roman" w:cs="Times New Roman"/>
          <w:sz w:val="28"/>
        </w:rPr>
        <w:t>миелоза</w:t>
      </w:r>
      <w:proofErr w:type="spellEnd"/>
      <w:r w:rsidRPr="008555F2">
        <w:rPr>
          <w:rFonts w:ascii="Times New Roman" w:hAnsi="Times New Roman" w:cs="Times New Roman"/>
          <w:sz w:val="28"/>
        </w:rPr>
        <w:t>;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 • частое сочетание с аутоиммунным атрофическим гастритом и наличие симптомов поражения ЖКТ, прежде всего глоссита. </w:t>
      </w:r>
    </w:p>
    <w:p w:rsidR="008555F2" w:rsidRP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55F2">
        <w:rPr>
          <w:rFonts w:ascii="Times New Roman" w:hAnsi="Times New Roman" w:cs="Times New Roman"/>
          <w:sz w:val="28"/>
        </w:rPr>
        <w:t xml:space="preserve">Причины дефицита витамина В12: 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>I. Нарушение всасывания витамина В12.</w:t>
      </w:r>
    </w:p>
    <w:p w:rsidR="008555F2" w:rsidRDefault="008555F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 1. Заболевания и состояния, приводящие к утрате способности слизистой желудка синтезировать внутренний фактор </w:t>
      </w:r>
      <w:proofErr w:type="spellStart"/>
      <w:r w:rsidRPr="008555F2">
        <w:rPr>
          <w:rFonts w:ascii="Times New Roman" w:hAnsi="Times New Roman" w:cs="Times New Roman"/>
          <w:sz w:val="28"/>
        </w:rPr>
        <w:t>Кастля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необходимый для всасывания кобаламина: </w:t>
      </w:r>
    </w:p>
    <w:p w:rsidR="008555F2" w:rsidRP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55F2">
        <w:rPr>
          <w:rFonts w:ascii="Times New Roman" w:hAnsi="Times New Roman" w:cs="Times New Roman"/>
          <w:sz w:val="28"/>
        </w:rPr>
        <w:lastRenderedPageBreak/>
        <w:t xml:space="preserve">• аутоиммунный гастрит, • </w:t>
      </w:r>
      <w:proofErr w:type="spellStart"/>
      <w:r w:rsidRPr="008555F2">
        <w:rPr>
          <w:rFonts w:ascii="Times New Roman" w:hAnsi="Times New Roman" w:cs="Times New Roman"/>
          <w:sz w:val="28"/>
        </w:rPr>
        <w:t>гастрэктомия</w:t>
      </w:r>
      <w:proofErr w:type="spellEnd"/>
      <w:r w:rsidRPr="008555F2">
        <w:rPr>
          <w:rFonts w:ascii="Times New Roman" w:hAnsi="Times New Roman" w:cs="Times New Roman"/>
          <w:sz w:val="28"/>
        </w:rPr>
        <w:t>, • воздействие на слизистую веществ, оказывающих коррозийное действие (этиловый спирт), • «инертный» внутренний фактор.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 2. Заболевания кишечника с общим снижением кишечного всасывания и изолированным нарушением всасывания витамина B12: • наследственная </w:t>
      </w:r>
      <w:proofErr w:type="spellStart"/>
      <w:r w:rsidRPr="008555F2">
        <w:rPr>
          <w:rFonts w:ascii="Times New Roman" w:hAnsi="Times New Roman" w:cs="Times New Roman"/>
          <w:sz w:val="28"/>
        </w:rPr>
        <w:t>мальабсорция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витамина В12 (синдром </w:t>
      </w:r>
      <w:proofErr w:type="spellStart"/>
      <w:r w:rsidRPr="008555F2">
        <w:rPr>
          <w:rFonts w:ascii="Times New Roman" w:hAnsi="Times New Roman" w:cs="Times New Roman"/>
          <w:sz w:val="28"/>
        </w:rPr>
        <w:t>Иммурслунд</w:t>
      </w:r>
      <w:proofErr w:type="spellEnd"/>
      <w:r w:rsidRPr="008555F2">
        <w:rPr>
          <w:rFonts w:ascii="Times New Roman" w:hAnsi="Times New Roman" w:cs="Times New Roman"/>
          <w:sz w:val="28"/>
        </w:rPr>
        <w:t>–</w:t>
      </w:r>
      <w:proofErr w:type="spellStart"/>
      <w:r w:rsidRPr="008555F2">
        <w:rPr>
          <w:rFonts w:ascii="Times New Roman" w:hAnsi="Times New Roman" w:cs="Times New Roman"/>
          <w:sz w:val="28"/>
        </w:rPr>
        <w:t>Гресбека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), • лекарственно-обусловленная </w:t>
      </w:r>
      <w:proofErr w:type="spellStart"/>
      <w:r w:rsidRPr="008555F2">
        <w:rPr>
          <w:rFonts w:ascii="Times New Roman" w:hAnsi="Times New Roman" w:cs="Times New Roman"/>
          <w:sz w:val="28"/>
        </w:rPr>
        <w:t>мальабсорбция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(ингибиторы </w:t>
      </w:r>
      <w:proofErr w:type="spellStart"/>
      <w:r w:rsidRPr="008555F2">
        <w:rPr>
          <w:rFonts w:ascii="Times New Roman" w:hAnsi="Times New Roman" w:cs="Times New Roman"/>
          <w:sz w:val="28"/>
        </w:rPr>
        <w:t>протоновой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помпы, </w:t>
      </w:r>
      <w:proofErr w:type="spellStart"/>
      <w:r w:rsidRPr="008555F2">
        <w:rPr>
          <w:rFonts w:ascii="Times New Roman" w:hAnsi="Times New Roman" w:cs="Times New Roman"/>
          <w:sz w:val="28"/>
        </w:rPr>
        <w:t>метформин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555F2">
        <w:rPr>
          <w:rFonts w:ascii="Times New Roman" w:hAnsi="Times New Roman" w:cs="Times New Roman"/>
          <w:sz w:val="28"/>
        </w:rPr>
        <w:t>холестирамин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), • </w:t>
      </w:r>
      <w:proofErr w:type="gramStart"/>
      <w:r w:rsidRPr="008555F2">
        <w:rPr>
          <w:rFonts w:ascii="Times New Roman" w:hAnsi="Times New Roman" w:cs="Times New Roman"/>
          <w:sz w:val="28"/>
        </w:rPr>
        <w:t>тропическое</w:t>
      </w:r>
      <w:proofErr w:type="gramEnd"/>
      <w:r w:rsidRPr="008555F2">
        <w:rPr>
          <w:rFonts w:ascii="Times New Roman" w:hAnsi="Times New Roman" w:cs="Times New Roman"/>
          <w:sz w:val="28"/>
        </w:rPr>
        <w:t xml:space="preserve"> спру, </w:t>
      </w:r>
      <w:proofErr w:type="spellStart"/>
      <w:r w:rsidRPr="008555F2">
        <w:rPr>
          <w:rFonts w:ascii="Times New Roman" w:hAnsi="Times New Roman" w:cs="Times New Roman"/>
          <w:sz w:val="28"/>
        </w:rPr>
        <w:t>целиакия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региональный илеит и массивные резекции подвздошной кишки. </w:t>
      </w:r>
    </w:p>
    <w:p w:rsidR="008555F2" w:rsidRP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555F2">
        <w:rPr>
          <w:rFonts w:ascii="Times New Roman" w:hAnsi="Times New Roman" w:cs="Times New Roman"/>
          <w:sz w:val="28"/>
        </w:rPr>
        <w:t>II.Конкурентное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потребление кобаламина в просвете кишечника до момента всасывания.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555F2">
        <w:rPr>
          <w:rFonts w:ascii="Times New Roman" w:hAnsi="Times New Roman" w:cs="Times New Roman"/>
          <w:sz w:val="28"/>
        </w:rPr>
        <w:t>Дисбактериозы</w:t>
      </w:r>
      <w:proofErr w:type="spellEnd"/>
      <w:r w:rsidRPr="008555F2">
        <w:rPr>
          <w:rFonts w:ascii="Times New Roman" w:hAnsi="Times New Roman" w:cs="Times New Roman"/>
          <w:sz w:val="28"/>
        </w:rPr>
        <w:t>, особенно при заболеваниях и состояниях, сопровождающихся выключением кишечной трубки из пассажа пищевого комка (</w:t>
      </w:r>
      <w:proofErr w:type="spellStart"/>
      <w:r w:rsidRPr="008555F2">
        <w:rPr>
          <w:rFonts w:ascii="Times New Roman" w:hAnsi="Times New Roman" w:cs="Times New Roman"/>
          <w:sz w:val="28"/>
        </w:rPr>
        <w:t>дивертикулез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тонкого кишечника, желудочно-дуоденальный анастомоз «конец-в-бок»).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2. Глистные инвазии (широкий лентец).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III. Алиментарный пищевой дефицит — строгое вегетарианство. Классическая клиническая картина В12-дефицитной анемии включает три основных синдрома: анемический, синдром желудочно-кишечных нарушений и неврологический.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Диагностика В12-дефицитной анемии предполагает два обязательных этапа: </w:t>
      </w:r>
    </w:p>
    <w:p w:rsidR="008555F2" w:rsidRP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55F2">
        <w:rPr>
          <w:rFonts w:ascii="Times New Roman" w:hAnsi="Times New Roman" w:cs="Times New Roman"/>
          <w:sz w:val="28"/>
        </w:rPr>
        <w:t xml:space="preserve">А. Выявление анемии и доказательство дефицита витамина В12.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>Б. Выявление причины дефицита витамина В12. Критерии диагноза В12-дефицитной анемии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 1. Изменения в анализе крови: анемия (</w:t>
      </w:r>
      <w:proofErr w:type="spellStart"/>
      <w:r w:rsidRPr="008555F2">
        <w:rPr>
          <w:rFonts w:ascii="Times New Roman" w:hAnsi="Times New Roman" w:cs="Times New Roman"/>
          <w:sz w:val="28"/>
        </w:rPr>
        <w:t>Hb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100) или </w:t>
      </w:r>
      <w:proofErr w:type="spellStart"/>
      <w:r w:rsidRPr="008555F2">
        <w:rPr>
          <w:rFonts w:ascii="Times New Roman" w:hAnsi="Times New Roman" w:cs="Times New Roman"/>
          <w:sz w:val="28"/>
        </w:rPr>
        <w:t>нормоцитарная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(MCV 80– 100), </w:t>
      </w:r>
      <w:proofErr w:type="spellStart"/>
      <w:r w:rsidRPr="008555F2">
        <w:rPr>
          <w:rFonts w:ascii="Times New Roman" w:hAnsi="Times New Roman" w:cs="Times New Roman"/>
          <w:sz w:val="28"/>
        </w:rPr>
        <w:t>норм</w:t>
      </w:r>
      <w:proofErr w:type="gramStart"/>
      <w:r w:rsidRPr="008555F2">
        <w:rPr>
          <w:rFonts w:ascii="Times New Roman" w:hAnsi="Times New Roman" w:cs="Times New Roman"/>
          <w:sz w:val="28"/>
        </w:rPr>
        <w:t>о</w:t>
      </w:r>
      <w:proofErr w:type="spellEnd"/>
      <w:r w:rsidRPr="008555F2">
        <w:rPr>
          <w:rFonts w:ascii="Times New Roman" w:hAnsi="Times New Roman" w:cs="Times New Roman"/>
          <w:sz w:val="28"/>
        </w:rPr>
        <w:t>-</w:t>
      </w:r>
      <w:proofErr w:type="gramEnd"/>
      <w:r w:rsidRPr="008555F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555F2">
        <w:rPr>
          <w:rFonts w:ascii="Times New Roman" w:hAnsi="Times New Roman" w:cs="Times New Roman"/>
          <w:sz w:val="28"/>
        </w:rPr>
        <w:t>гиперхромная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(MCH &gt;35) с изменением морфологии </w:t>
      </w:r>
      <w:r w:rsidRPr="008555F2">
        <w:rPr>
          <w:rFonts w:ascii="Times New Roman" w:hAnsi="Times New Roman" w:cs="Times New Roman"/>
          <w:sz w:val="28"/>
        </w:rPr>
        <w:lastRenderedPageBreak/>
        <w:t xml:space="preserve">эритроцитов: </w:t>
      </w:r>
      <w:proofErr w:type="spellStart"/>
      <w:r w:rsidRPr="008555F2">
        <w:rPr>
          <w:rFonts w:ascii="Times New Roman" w:hAnsi="Times New Roman" w:cs="Times New Roman"/>
          <w:sz w:val="28"/>
        </w:rPr>
        <w:t>анизоцитоз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с преобладанием </w:t>
      </w:r>
      <w:proofErr w:type="spellStart"/>
      <w:r w:rsidRPr="008555F2">
        <w:rPr>
          <w:rFonts w:ascii="Times New Roman" w:hAnsi="Times New Roman" w:cs="Times New Roman"/>
          <w:sz w:val="28"/>
        </w:rPr>
        <w:t>макроцитоза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555F2">
        <w:rPr>
          <w:rFonts w:ascii="Times New Roman" w:hAnsi="Times New Roman" w:cs="Times New Roman"/>
          <w:sz w:val="28"/>
        </w:rPr>
        <w:t>гиперхромии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(RDW &gt;14,5%), наличие в эритроцитах телец </w:t>
      </w:r>
      <w:proofErr w:type="spellStart"/>
      <w:r w:rsidRPr="008555F2">
        <w:rPr>
          <w:rFonts w:ascii="Times New Roman" w:hAnsi="Times New Roman" w:cs="Times New Roman"/>
          <w:sz w:val="28"/>
        </w:rPr>
        <w:t>Жолли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колец </w:t>
      </w:r>
      <w:proofErr w:type="spellStart"/>
      <w:r w:rsidRPr="008555F2">
        <w:rPr>
          <w:rFonts w:ascii="Times New Roman" w:hAnsi="Times New Roman" w:cs="Times New Roman"/>
          <w:sz w:val="28"/>
        </w:rPr>
        <w:t>Кебота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8555F2">
        <w:rPr>
          <w:rFonts w:ascii="Times New Roman" w:hAnsi="Times New Roman" w:cs="Times New Roman"/>
          <w:sz w:val="28"/>
        </w:rPr>
        <w:t>гипорегенераторная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; возможны тромбоцитопения, лейкопения с </w:t>
      </w:r>
      <w:proofErr w:type="spellStart"/>
      <w:r w:rsidRPr="008555F2">
        <w:rPr>
          <w:rFonts w:ascii="Times New Roman" w:hAnsi="Times New Roman" w:cs="Times New Roman"/>
          <w:sz w:val="28"/>
        </w:rPr>
        <w:t>нейтропенией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555F2">
        <w:rPr>
          <w:rFonts w:ascii="Times New Roman" w:hAnsi="Times New Roman" w:cs="Times New Roman"/>
          <w:sz w:val="28"/>
        </w:rPr>
        <w:t>макроцитоз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555F2">
        <w:rPr>
          <w:rFonts w:ascii="Times New Roman" w:hAnsi="Times New Roman" w:cs="Times New Roman"/>
          <w:sz w:val="28"/>
        </w:rPr>
        <w:t>гиперсегментация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нейтрофилов.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2. Снижение концентрации витамина В12 в сыворотке крови. При концентрации кобаламина ниже 220 </w:t>
      </w:r>
      <w:proofErr w:type="spellStart"/>
      <w:r w:rsidRPr="008555F2">
        <w:rPr>
          <w:rFonts w:ascii="Times New Roman" w:hAnsi="Times New Roman" w:cs="Times New Roman"/>
          <w:sz w:val="28"/>
        </w:rPr>
        <w:t>пг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/мл рекомендуется начинать терапию </w:t>
      </w:r>
      <w:proofErr w:type="spellStart"/>
      <w:r w:rsidRPr="008555F2">
        <w:rPr>
          <w:rFonts w:ascii="Times New Roman" w:hAnsi="Times New Roman" w:cs="Times New Roman"/>
          <w:sz w:val="28"/>
        </w:rPr>
        <w:t>сапплементации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55F2">
        <w:rPr>
          <w:rFonts w:ascii="Times New Roman" w:hAnsi="Times New Roman" w:cs="Times New Roman"/>
          <w:sz w:val="28"/>
        </w:rPr>
        <w:t>цианкобаламином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3. Наличие симптомов неэффективного </w:t>
      </w:r>
      <w:proofErr w:type="spellStart"/>
      <w:r w:rsidRPr="008555F2">
        <w:rPr>
          <w:rFonts w:ascii="Times New Roman" w:hAnsi="Times New Roman" w:cs="Times New Roman"/>
          <w:sz w:val="28"/>
        </w:rPr>
        <w:t>эритропоэза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с признаками повышенного распада </w:t>
      </w:r>
      <w:proofErr w:type="spellStart"/>
      <w:r w:rsidRPr="008555F2">
        <w:rPr>
          <w:rFonts w:ascii="Times New Roman" w:hAnsi="Times New Roman" w:cs="Times New Roman"/>
          <w:sz w:val="28"/>
        </w:rPr>
        <w:t>гема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и эритроцитов: умеренное повышение непрямого билирубина, повышение ЛДГ, снижение </w:t>
      </w:r>
      <w:proofErr w:type="spellStart"/>
      <w:r w:rsidRPr="008555F2">
        <w:rPr>
          <w:rFonts w:ascii="Times New Roman" w:hAnsi="Times New Roman" w:cs="Times New Roman"/>
          <w:sz w:val="28"/>
        </w:rPr>
        <w:t>гаптоглобина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. </w:t>
      </w:r>
    </w:p>
    <w:p w:rsidR="008555F2" w:rsidRDefault="008555F2" w:rsidP="008555F2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8555F2">
        <w:rPr>
          <w:rFonts w:ascii="Times New Roman" w:hAnsi="Times New Roman" w:cs="Times New Roman"/>
          <w:sz w:val="28"/>
        </w:rPr>
        <w:t xml:space="preserve">4. Установленная причина дефицита витамина В12. 5. Эффект от терапии витамином В12: </w:t>
      </w:r>
      <w:proofErr w:type="spellStart"/>
      <w:r w:rsidRPr="008555F2">
        <w:rPr>
          <w:rFonts w:ascii="Times New Roman" w:hAnsi="Times New Roman" w:cs="Times New Roman"/>
          <w:sz w:val="28"/>
        </w:rPr>
        <w:t>ретикулоцитарный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криз — 10–20-кратное повышение уровня </w:t>
      </w:r>
      <w:proofErr w:type="spellStart"/>
      <w:r w:rsidRPr="008555F2">
        <w:rPr>
          <w:rFonts w:ascii="Times New Roman" w:hAnsi="Times New Roman" w:cs="Times New Roman"/>
          <w:sz w:val="28"/>
        </w:rPr>
        <w:t>ретикулоцитов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 в анализе крови на 5–7-й день от начала терапии </w:t>
      </w:r>
      <w:proofErr w:type="spellStart"/>
      <w:r w:rsidRPr="008555F2">
        <w:rPr>
          <w:rFonts w:ascii="Times New Roman" w:hAnsi="Times New Roman" w:cs="Times New Roman"/>
          <w:sz w:val="28"/>
        </w:rPr>
        <w:t>цианкобаламином</w:t>
      </w:r>
      <w:proofErr w:type="spellEnd"/>
      <w:r w:rsidRPr="008555F2">
        <w:rPr>
          <w:rFonts w:ascii="Times New Roman" w:hAnsi="Times New Roman" w:cs="Times New Roman"/>
          <w:sz w:val="28"/>
        </w:rPr>
        <w:t xml:space="preserve">. </w:t>
      </w:r>
    </w:p>
    <w:p w:rsidR="0024243F" w:rsidRPr="006D47EE" w:rsidRDefault="0024243F" w:rsidP="009D6EA9">
      <w:pPr>
        <w:pStyle w:val="1"/>
      </w:pPr>
      <w:bookmarkStart w:id="3" w:name="_Toc39432303"/>
      <w:proofErr w:type="spellStart"/>
      <w:r w:rsidRPr="006D47EE">
        <w:t>Апластические</w:t>
      </w:r>
      <w:proofErr w:type="spellEnd"/>
      <w:r w:rsidRPr="006D47EE">
        <w:t xml:space="preserve"> анемии</w:t>
      </w:r>
      <w:r w:rsidR="009D6EA9">
        <w:rPr>
          <w:lang w:val="en-US"/>
        </w:rPr>
        <w:t xml:space="preserve"> </w:t>
      </w:r>
      <w:r w:rsidRPr="006D47EE">
        <w:t>(АА)</w:t>
      </w:r>
      <w:bookmarkEnd w:id="3"/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Это приобретенные или врожденные заболевания с трехлинейной гипоплазией кроветворения и снижением содержания всех клеток в периферической крови.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 врожденным формам </w:t>
      </w:r>
      <w:proofErr w:type="spellStart"/>
      <w:r w:rsidR="0024243F" w:rsidRPr="006D47EE">
        <w:rPr>
          <w:rFonts w:ascii="Times New Roman" w:hAnsi="Times New Roman" w:cs="Times New Roman"/>
          <w:sz w:val="28"/>
          <w:szCs w:val="28"/>
        </w:rPr>
        <w:t>аплатической</w:t>
      </w:r>
      <w:proofErr w:type="spellEnd"/>
      <w:r w:rsidR="0024243F" w:rsidRPr="006D47EE">
        <w:rPr>
          <w:rFonts w:ascii="Times New Roman" w:hAnsi="Times New Roman" w:cs="Times New Roman"/>
          <w:sz w:val="28"/>
          <w:szCs w:val="28"/>
        </w:rPr>
        <w:t xml:space="preserve"> анемии</w:t>
      </w:r>
      <w:r w:rsidRPr="006D47EE">
        <w:rPr>
          <w:rFonts w:ascii="Times New Roman" w:hAnsi="Times New Roman" w:cs="Times New Roman"/>
          <w:sz w:val="28"/>
          <w:szCs w:val="28"/>
        </w:rPr>
        <w:t xml:space="preserve"> относят случаи, когда нарушения кроветворения выявляются с рождения и сочетаются с семейным анамнезом. В зависимости от характера повреждения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врожденные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анемии подразделяют на формы: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1. Врожденная АА с общим поражением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врожденными аномалиями развития (анемия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2. Наследственная АА с общим поражением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без врожденных аномалий развития (анемия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Дамешека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).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 3. Врожденная АА с угнетением только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(парциальная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красноклеточная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аплазия) или наследственная АА с избирательным поражением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(анемия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Даймонда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Блекфана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анемии связывают с воздействием различных повреждающих факторов на ГСК: токсических агентов (бензол и его производные), лучевых факторов, лекарственных препаратов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хлорамфеникол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карба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- 163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мазепин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 и вирусов (вирусы гепатита).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 Приобретенная идиопатическая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анемия — это заболевание, характеризующееся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панцитопенией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 периферической крови с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гипоклеточным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костным мозгом при исключении других причин недостаточности костного мозга, прежде всего опухолевых заболеваний кроветворной ткани или других органов с метастазами в костный мозг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Механизм нарушения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при АА связывают с редукцией морфологически распознаваемых клеток-предшественников и ранних клеток-предшественников — ГСК (CD34+). </w:t>
      </w:r>
      <w:r w:rsidR="0024243F" w:rsidRPr="006D47EE">
        <w:rPr>
          <w:rFonts w:ascii="Times New Roman" w:hAnsi="Times New Roman" w:cs="Times New Roman"/>
          <w:sz w:val="28"/>
          <w:szCs w:val="28"/>
        </w:rPr>
        <w:t>4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Причины редукции этих клеток: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>1) качественные дефекты ГСК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клональные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повреждения, схожие с таковыми при МДС и ПНГ);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2) иммунные механизмы подавления кроветворения при участии Т-лимфоцитов (активированных CD8+ Т-лимфоцитов);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3) дефекты микроокружения (недостаточная выработка ростовых факторов).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7EE">
        <w:rPr>
          <w:rFonts w:ascii="Times New Roman" w:hAnsi="Times New Roman" w:cs="Times New Roman"/>
          <w:sz w:val="28"/>
          <w:szCs w:val="28"/>
        </w:rPr>
        <w:t xml:space="preserve">Клинические проявления АА включают самые разнообразные симптомы в рамках анемического, геморрагического и инфекционно-воспалительного синдромов при отсутствии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спленомегалии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и/или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лимфоаденопатии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Первые жалобы больного чаще всего связаны с развитием анемии. Как правило, это повышенная утомляемость, слабость, </w:t>
      </w: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головокружение, шум в ушах, плохая переносимость душных помещений. Появление кровотечений (носовых, маточных, желудочно-кишечных), немотивированных синяков и петехий обычно настораживает больных и вынуждает обращаться за медицинской помощью. Жалобы, связанные с инфекционными осложнениями на фоне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агранулоцитоза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у больных АА, </w:t>
      </w:r>
      <w:r w:rsidR="0024243F" w:rsidRPr="006D47EE">
        <w:rPr>
          <w:rFonts w:ascii="Times New Roman" w:hAnsi="Times New Roman" w:cs="Times New Roman"/>
          <w:sz w:val="28"/>
          <w:szCs w:val="28"/>
        </w:rPr>
        <w:t>практи</w:t>
      </w:r>
      <w:r w:rsidRPr="006D47EE">
        <w:rPr>
          <w:rFonts w:ascii="Times New Roman" w:hAnsi="Times New Roman" w:cs="Times New Roman"/>
          <w:sz w:val="28"/>
          <w:szCs w:val="28"/>
        </w:rPr>
        <w:t xml:space="preserve">чески ничем не отличаются от таковых при независимо протекающей бактериальной инфекции. При осмотре отмечают бледность кожных покровов и видимых слизистых оболочек, проявления геморрагического диатеза в виде мелкоточечных петехий и небольших синяков. Обусловленная анемией недостаточность кровообращения в большом круге может приводить к появлению отеков, в первую очередь на нижних конечностях, и к увеличению печени. Различные воспалительные заболевания манифестируют характерными для них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физикальными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признаками. По мере прогрессирования заболевания наступает смерть больных от септических или геморрагических осложнений.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Критерии диагноза: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трехростковая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цитопения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: анемия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нормоцитарная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MCV 80–100,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гипорегенераторная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анизоцитоза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гранулоцитопения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тромбоцитопения; </w:t>
      </w:r>
    </w:p>
    <w:p w:rsidR="0024243F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• аплазия костного мозга по данным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трепанобиопсии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: преобладание жирового костного мозга над красным костным мозгом (гемопоэтической тканью) в биоптате подвздошной кости. </w:t>
      </w:r>
    </w:p>
    <w:p w:rsidR="004B5212" w:rsidRPr="006D47EE" w:rsidRDefault="004B5212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Степень угнетения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апластической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анемии может быть различной. В связи с этим выделяют просто АА,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тяжелую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АА и сверхтяжелую АА: тяжелая АА — в периферической крови (два или три критерия): гранулоцитов</w:t>
      </w:r>
    </w:p>
    <w:p w:rsidR="009D6EA9" w:rsidRDefault="009D6EA9" w:rsidP="0024243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9D6EA9" w:rsidRDefault="009D6EA9" w:rsidP="0024243F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24243F" w:rsidRPr="006D47EE" w:rsidRDefault="0024243F" w:rsidP="009D6EA9">
      <w:pPr>
        <w:pStyle w:val="1"/>
      </w:pPr>
      <w:bookmarkStart w:id="4" w:name="_Toc39432304"/>
      <w:proofErr w:type="gramStart"/>
      <w:r w:rsidRPr="006D47EE">
        <w:lastRenderedPageBreak/>
        <w:t>Наследственный</w:t>
      </w:r>
      <w:proofErr w:type="gramEnd"/>
      <w:r w:rsidRPr="006D47EE">
        <w:t xml:space="preserve"> </w:t>
      </w:r>
      <w:proofErr w:type="spellStart"/>
      <w:r w:rsidRPr="006D47EE">
        <w:t>сфероцитоз</w:t>
      </w:r>
      <w:proofErr w:type="spellEnd"/>
      <w:r w:rsidRPr="006D47EE">
        <w:t xml:space="preserve"> (болезнь </w:t>
      </w:r>
      <w:proofErr w:type="spellStart"/>
      <w:r w:rsidRPr="006D47EE">
        <w:t>Минковского</w:t>
      </w:r>
      <w:proofErr w:type="spellEnd"/>
      <w:r w:rsidRPr="006D47EE">
        <w:t>–</w:t>
      </w:r>
      <w:proofErr w:type="spellStart"/>
      <w:r w:rsidRPr="006D47EE">
        <w:t>Шоффара</w:t>
      </w:r>
      <w:proofErr w:type="spellEnd"/>
      <w:r w:rsidRPr="006D47EE">
        <w:t>)</w:t>
      </w:r>
      <w:bookmarkEnd w:id="4"/>
      <w:r w:rsidRPr="006D47EE">
        <w:t xml:space="preserve"> </w:t>
      </w:r>
    </w:p>
    <w:p w:rsidR="0024243F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Это наиболее клинически значимая форма наследственных гемолитических анемий из группы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мембранопатий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— аутосомно-доминантное заболевание, при котором аномальные эритроциты разрушаются в неизмененной селезенке</w:t>
      </w:r>
    </w:p>
    <w:p w:rsidR="0024243F" w:rsidRPr="006D47EE" w:rsidRDefault="0024243F" w:rsidP="0024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Патогенез заболевания обусловлен аномалией протеинов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цитоскелета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Практически у всех больных определяется дефицит белка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спектрина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степень которого пропорциональна выраженности анемии. Генетический дефект мембраны эритроцитов приводит к избыточному проникновению в эритроцит ионов натрия и повышенному накоплению в нем воды, вследствие чего образуются сферические эритроциты —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сфероциты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Сферическая форма и ригидность эритроцитов затрудняют их прохождение по сосудистой системе селезенки. При этом отщепляется часть мембраны эритроцита с образованием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сфероцита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а в последующем —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микросфероцита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Продолжительность жизни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сфероцитов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короче, чем у обычных эритроцитов. </w:t>
      </w:r>
    </w:p>
    <w:p w:rsidR="0024243F" w:rsidRPr="006D47EE" w:rsidRDefault="0024243F" w:rsidP="0024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Клинические проявления. К основным клиническим проявлениям относятся анемия,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желтуха. Временные срывы компенсаторных процессов в виде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эритроидной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гипоплазии с возникновением анемии могут происходить под влиянием инфекций, часто незначительных. Из-за усиленной продукции желчного пигмента в желчевыводящих путях образуются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билирубиновые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камни, даже у детей. </w:t>
      </w:r>
    </w:p>
    <w:p w:rsidR="0024243F" w:rsidRPr="006D47EE" w:rsidRDefault="0024243F" w:rsidP="0024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Критерии диагноза: </w:t>
      </w:r>
    </w:p>
    <w:p w:rsidR="0024243F" w:rsidRPr="006D47EE" w:rsidRDefault="0024243F" w:rsidP="0024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1. Наличие симптомов внутриклеточного гемолиза (распада) эритроцитов 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акселерированного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43F" w:rsidRPr="006D47EE" w:rsidRDefault="0024243F" w:rsidP="0024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Кризовое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течение,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наличие камней в желчном пузыре. </w:t>
      </w:r>
    </w:p>
    <w:p w:rsidR="0024243F" w:rsidRPr="006D47EE" w:rsidRDefault="0024243F" w:rsidP="002424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3. Наличие специфической аномалии морфологии эритроцитов —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сфероцитов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</w:t>
      </w:r>
    </w:p>
    <w:p w:rsidR="009D6EA9" w:rsidRDefault="0024243F" w:rsidP="009D6E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 4. Снижение ОРЭ после инкубации цельной крови в стерильных условиях в течение суток при 37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в случаях, когда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сфероцитов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больше 1–2% от общей популяции эритроцитов. </w:t>
      </w:r>
    </w:p>
    <w:p w:rsidR="0024243F" w:rsidRDefault="0024243F" w:rsidP="009D6EA9">
      <w:pPr>
        <w:pStyle w:val="1"/>
        <w:rPr>
          <w:i/>
          <w:lang w:val="en-US"/>
        </w:rPr>
      </w:pPr>
      <w:bookmarkStart w:id="5" w:name="_Toc39432305"/>
      <w:r w:rsidRPr="009D6EA9">
        <w:rPr>
          <w:rStyle w:val="a5"/>
          <w:rFonts w:ascii="Times New Roman" w:hAnsi="Times New Roman" w:cs="Times New Roman"/>
          <w:i w:val="0"/>
          <w:sz w:val="28"/>
          <w:szCs w:val="28"/>
        </w:rPr>
        <w:t>Анемия, обусловленная дефицитом фермента глюкозо-6-фосфатдегидрогеназы в мембране эритроцитов</w:t>
      </w:r>
      <w:bookmarkEnd w:id="5"/>
      <w:r w:rsidRPr="009D6EA9">
        <w:rPr>
          <w:i/>
        </w:rPr>
        <w:t xml:space="preserve"> </w:t>
      </w:r>
    </w:p>
    <w:p w:rsidR="009D6EA9" w:rsidRPr="009D6EA9" w:rsidRDefault="009D6EA9" w:rsidP="009D6EA9">
      <w:pPr>
        <w:rPr>
          <w:lang w:val="en-US"/>
        </w:rPr>
      </w:pPr>
    </w:p>
    <w:p w:rsidR="0024243F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Это наследственная несфероцитарная гемолитическая анемия, наиболее частая из группы ферментопатий, с развитием дефекта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гексозомонофосфатного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шунта вследствие дефицита Г-6-ФДГ. Заболевание генетически обусловлено, сцеплено с Х-хромосомой. В норме эритроциты, подвергаясь воздействию лекарственных или токсичных веществ, в несколько раз активируют метаболизм глюкозы через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гексозо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монофосфатный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шунт. В процессе этого регенерируется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восстановленный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глутатион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защищающий сульфгидрильные группы гемоглобина и мембрану эритроцитов от окисления. При дефекте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гексозомонофосфатного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шунта не может поддерживаться необходимый уровень восстановленного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глутатиона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 эритроцитах, в результате чего сульфгидрильные группы гемоглобина окисляются, а глобин переходит в нерастворимую форму, образуя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внутриэритроцитарные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тельца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7EE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Основное проявление — острый гемолитический криз. В тяжелых случаях наступают гемоглобинурия и острая сосудистая недостаточность. При кризах гемолиз обычно купируется спонтанно, так как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разрушаются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прежде всего более старые эритроциты. </w:t>
      </w:r>
    </w:p>
    <w:p w:rsidR="006D47EE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Критерии диагноза: </w:t>
      </w:r>
    </w:p>
    <w:p w:rsidR="006D47EE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1. Наличие симптомов внутрисосудистого гемолиза (распада) эритроцитов 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акселерированного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</w:t>
      </w:r>
    </w:p>
    <w:p w:rsidR="006D47EE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 2. Положительный тест на образование телец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 эритроцитах, выявляемых при специальной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суправитальной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окраске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кристаллическим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фиолетовым. </w:t>
      </w:r>
    </w:p>
    <w:p w:rsidR="006D47EE" w:rsidRPr="006D47EE" w:rsidRDefault="0024243F" w:rsidP="002424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3. Наличие «надкусанных» эритроцитов в мазке периферической крови. При высвобождении телец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из эритроцитов часть поверхности клеток утрачивается, и они принимают форму «надкусанных». В периферической крови можно обнаружить и небольшое число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сфероцитов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</w:t>
      </w:r>
    </w:p>
    <w:p w:rsidR="00C43114" w:rsidRDefault="006D47EE" w:rsidP="009D6EA9">
      <w:pPr>
        <w:pStyle w:val="1"/>
        <w:rPr>
          <w:lang w:val="en-US"/>
        </w:rPr>
      </w:pPr>
      <w:bookmarkStart w:id="6" w:name="_Toc39432306"/>
      <w:proofErr w:type="spellStart"/>
      <w:r w:rsidRPr="009D6EA9">
        <w:rPr>
          <w:rStyle w:val="a5"/>
          <w:i w:val="0"/>
          <w:iCs w:val="0"/>
          <w:color w:val="365F91" w:themeColor="accent1" w:themeShade="BF"/>
          <w:spacing w:val="0"/>
          <w:sz w:val="28"/>
          <w:szCs w:val="28"/>
        </w:rPr>
        <w:t>Серповидноклеточная</w:t>
      </w:r>
      <w:proofErr w:type="spellEnd"/>
      <w:r w:rsidRPr="009D6EA9">
        <w:rPr>
          <w:rStyle w:val="a5"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анемия</w:t>
      </w:r>
      <w:bookmarkEnd w:id="6"/>
      <w:r w:rsidRPr="009D6EA9">
        <w:t xml:space="preserve"> </w:t>
      </w:r>
    </w:p>
    <w:p w:rsidR="009D6EA9" w:rsidRPr="009D6EA9" w:rsidRDefault="009D6EA9" w:rsidP="009D6EA9">
      <w:pPr>
        <w:rPr>
          <w:lang w:val="en-US"/>
        </w:rPr>
      </w:pP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>Это наследственная гемолитическая анемия, обусловленная качественными нарушениями синтеза цепей гемоглобина. Эритроциты больных с СКА содержат гемоглобин S (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), отличающийся по электрофоретической подвижности и качественному составу от гемоглобина здорового человека. При СКА в 6-й позиции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цепи гемоглобина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кислота заменена на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Это заболевание известно с 1910 г., когда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Herrick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впервые сообщил о гемолитической анемии в сочетании с появлением в крови эритроцитов удлиненной серповидной формы у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студентамедика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выходца с Ямайки.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Патогенез. Эритроциты, содержащие 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меняют в условиях гипоксии (в венозной крови) нормальную форму двояковогнутого диска на удлиненную путем специфической полимеризации гемоглобина. Они становятся похожими на полумесяц, поэтому их и называют серповидными. Кроме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при СКА эритроциты содержат 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bF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Однако он распределен неравномерно, составляя в отдельных клетках от 2 до 20% общего количества гемоглобина. 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bF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ингибирует полимеризацию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НbS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В результате эритроциты, богатые 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bF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оказываются защищенными от серповидной трансформации. Напротив, клетки с малым количеством 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bF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 первую очередь подвергаются необратимым изменениям. На процесс серповидной </w:t>
      </w: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полимеризации гемоглобина оказывают влияние гипоксия, повышение MCHC эритроцитов, удлинение времени капиллярного кровотока эритроцитов, а также повышение количества лейкоцитов,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гиперкоагуляционный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профиль и наличие эндотелиальной дисфункции. Зависимый от кислорода процесс полимеризации гемоглобина и образования эритроцитов серповидной формы, как правило, обратим. В артериальной крови, где рО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составляет 95 мм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. и 90% гемоглобина насыщено О2 , только 10% эритроцитов имеют серповидную форму. В венозной крови при рО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40 мм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приблизительно 60% гемоглобина насыщено кислородом и уже 70% эритроцитов являются серповидными. Системная гипоксия вследствие дыхательной недостаточности, общего наркоза увеличивает число серповидных клеток. Почечный, селезеночный,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ретинальный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,</w:t>
      </w:r>
      <w:r w:rsidR="00C43114">
        <w:rPr>
          <w:rFonts w:ascii="Times New Roman" w:hAnsi="Times New Roman" w:cs="Times New Roman"/>
          <w:sz w:val="28"/>
          <w:szCs w:val="28"/>
        </w:rPr>
        <w:t xml:space="preserve"> костномозговой кровоток харак</w:t>
      </w:r>
      <w:r w:rsidRPr="006D47EE">
        <w:rPr>
          <w:rFonts w:ascii="Times New Roman" w:hAnsi="Times New Roman" w:cs="Times New Roman"/>
          <w:sz w:val="28"/>
          <w:szCs w:val="28"/>
        </w:rPr>
        <w:t xml:space="preserve">теризуется более выраженными гипоксией и ацидозом, что приводит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óльшей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серповидной полимеризации гемоглобина и является объяснением, почему именно в этих органах наиболее часто развиваются патологические изменения при СКА. Повышение средней корпускулярной концентрации гемоглобина (MCHC) укорачивает время до начала серповидной полимеризации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деоксигенированного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гемоглобина. В процессе многократных обратимых серповидных трансформаций мембрана гомозиготных SS эритроцитов может быть серьезно повреждена. В этих случаях клетки теряют ионы калия и воду и приобретают необратимую серповидную форму. Серповидный эритроцит не обладает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достаточной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деформабельностью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может закупорить капилляр. Обструкция кровотока приводит к локальной гипоксии, что способствует прогрессированию образования серповидных эритроцитов с развитием сосудистых окклюзий и ишемии органа («болевые» кризы). Эритроциты с необратимой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трансформацией имеют повышенную механическую ломкость, приводящую к укорочению продолжительности их жизни (гемолиз). В ответ на это усиливается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который может компенсировать укорочение продолжительности жизни эритроцитов без </w:t>
      </w: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анемии или с возможной анемией. Любые факторы, способствующие локальной (травмы, воспалительные заболевания) или центральной гипоксии (наркоз), способны вызвать обострение заболевания.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Клинические проявления. Гетерозиготная форма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анемии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HbAS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) обычно бессимптомна. Гомозиготная анемия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α2 β2s) имеет вариабельное клиническое течение — от минимальных признаков заболевания до тяжелой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инвалидизирующей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симптоматики.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 xml:space="preserve">На клиническое течение гомозиготной СКА оказывает влияние содержание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HbF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, климат и социально-экономические факторы, в частности доступность и своевременность лечения инфекционных заболеваний у детей.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Клиническая картина СКА обычно дебютирует через 6 месяцев после рождения, когда в норме большая часть </w:t>
      </w:r>
      <w:proofErr w:type="spellStart"/>
      <w:proofErr w:type="gramStart"/>
      <w:r w:rsidRPr="006D4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>bF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замещается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НbA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У больных СКА в результате нарушения синтеза цепей гемоглобина появляется и нарастает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HbS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Часть 2.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Клинические проявления СКА включают: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1. Конституциональные проявления — отставание роста и развития, полового созревания.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>2. Повышенную склонность к тяжелым инфекциям, особенно пневмококковым, объясняемую нарушением функции селезенки по очищению крови от циркулирующих бактерий вследствие повторных инфарктов и замещения нормальных тканей органа фиброзной тканью.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 3. Анемические проявления. Гемолитическая анемия. При гомозиготной форме типична выраженная анемия, гематокрит 18–30%. В среднем продолжительность жизни эритроцитов составляет всего 10–15 дней.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Гаптоглобин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в плазме либо отсутствует, либо его концентрация уменьшена, а концентрация свободного гемоглобина умеренно увеличена. Повышен непрямой билирубин. Имеет место образование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билирубиновых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камней желчного пузыря. Селезенка может быть увеличена в раннем детстве, у взрослых пальпируется редко. </w:t>
      </w:r>
    </w:p>
    <w:p w:rsidR="00C43114" w:rsidRDefault="00C43114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Мегалобластные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 кризы. При ограниченном поступлении с пищей фолиевой кислоты развивается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мегалобластический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гиперкоагуляционное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 состояние из-за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гомоцистеинемии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 в результате дефицита фолатов. </w:t>
      </w:r>
    </w:p>
    <w:p w:rsidR="00C43114" w:rsidRDefault="00C43114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Апластические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 кризы. Пациенты с СКА подвержены инфекциям и воспалительным процессам, подавляющим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. У инфицированного пациента быстро падает количество </w:t>
      </w:r>
      <w:proofErr w:type="spellStart"/>
      <w:r w:rsidR="006D47EE" w:rsidRPr="006D47EE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="006D47EE" w:rsidRPr="006D47EE">
        <w:rPr>
          <w:rFonts w:ascii="Times New Roman" w:hAnsi="Times New Roman" w:cs="Times New Roman"/>
          <w:sz w:val="28"/>
          <w:szCs w:val="28"/>
        </w:rPr>
        <w:t xml:space="preserve"> и гемоглобина на 10 г/л в день. </w:t>
      </w:r>
    </w:p>
    <w:p w:rsidR="00C43114" w:rsidRDefault="00C43114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D47EE" w:rsidRPr="006D47EE">
        <w:rPr>
          <w:rFonts w:ascii="Times New Roman" w:hAnsi="Times New Roman" w:cs="Times New Roman"/>
          <w:sz w:val="28"/>
          <w:szCs w:val="28"/>
        </w:rPr>
        <w:t xml:space="preserve"> Хронические органные нарушения. К зрелому возрасту у пациентов в результате кумулятивного эффекта повторных окклюзий сосудов накапливаются объективные признаки анатомического и функционального повреждения разных органов и тканей.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Критерии диагноза.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Серповидноклеточную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анемию всегда следует подозревать при выявлении гемолитической анемии у представителей негроидной популяции. </w:t>
      </w:r>
    </w:p>
    <w:p w:rsidR="00C43114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1. Изменения со стороны анализа крови: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макроцитоз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эритроцитов (MCV &gt;100),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ретикулоцитоз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(&gt;100,0×109 /л), лейкоцитоз с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нейтрофилезом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незначительным левым сдвигом, тромбоцитоз. В мазке периферической крови: серповидные эритроциты,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полихроматофильный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макроцитоз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эритроцитов, наличие эритроцитов с тельцами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Жолли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функциональная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аспления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47EE" w:rsidRPr="006D47EE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EE">
        <w:rPr>
          <w:rFonts w:ascii="Times New Roman" w:hAnsi="Times New Roman" w:cs="Times New Roman"/>
          <w:sz w:val="28"/>
          <w:szCs w:val="28"/>
        </w:rPr>
        <w:t>2. Электрофорез гемоглобина с количественным определением гемоглобина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, S, А2, F. </w:t>
      </w:r>
    </w:p>
    <w:p w:rsidR="00C43114" w:rsidRDefault="006D47EE" w:rsidP="009D6EA9">
      <w:pPr>
        <w:pStyle w:val="1"/>
        <w:rPr>
          <w:rFonts w:ascii="Times New Roman" w:hAnsi="Times New Roman" w:cs="Times New Roman"/>
          <w:i/>
          <w:lang w:val="en-US"/>
        </w:rPr>
      </w:pPr>
      <w:bookmarkStart w:id="7" w:name="_Toc39432307"/>
      <w:r w:rsidRPr="009D6EA9">
        <w:rPr>
          <w:rStyle w:val="a5"/>
          <w:i w:val="0"/>
        </w:rPr>
        <w:t>Лекарственно-обусловленные иммунные гемолитические анемии</w:t>
      </w:r>
      <w:bookmarkEnd w:id="7"/>
      <w:r w:rsidRPr="009D6EA9">
        <w:rPr>
          <w:rFonts w:ascii="Times New Roman" w:hAnsi="Times New Roman" w:cs="Times New Roman"/>
          <w:i/>
        </w:rPr>
        <w:t xml:space="preserve"> </w:t>
      </w:r>
    </w:p>
    <w:p w:rsidR="009D6EA9" w:rsidRPr="009D6EA9" w:rsidRDefault="009D6EA9" w:rsidP="009D6EA9">
      <w:pPr>
        <w:rPr>
          <w:lang w:val="en-US"/>
        </w:rPr>
      </w:pPr>
    </w:p>
    <w:p w:rsidR="006D47EE" w:rsidRDefault="006D47EE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47EE">
        <w:rPr>
          <w:rFonts w:ascii="Times New Roman" w:hAnsi="Times New Roman" w:cs="Times New Roman"/>
          <w:sz w:val="28"/>
          <w:szCs w:val="28"/>
        </w:rPr>
        <w:t xml:space="preserve">В 10–20% случаев иммунные гемолитические анемии обусловлены приемом лекарственных средств (около 100 наименований). При этом </w:t>
      </w:r>
      <w:r w:rsidRPr="006D47EE">
        <w:rPr>
          <w:rFonts w:ascii="Times New Roman" w:hAnsi="Times New Roman" w:cs="Times New Roman"/>
          <w:sz w:val="28"/>
          <w:szCs w:val="28"/>
        </w:rPr>
        <w:lastRenderedPageBreak/>
        <w:t xml:space="preserve">гемолиз почти всегда вызван тепловыми антителами. Выделено три механизма развития лекарственно-обусловленных иммунных гемолитических анемий: 1.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Гаптеновый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Лекарственное средство (пенициллин в дозе более 10 </w:t>
      </w:r>
      <w:proofErr w:type="gramStart"/>
      <w:r w:rsidRPr="006D47E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D47EE">
        <w:rPr>
          <w:rFonts w:ascii="Times New Roman" w:hAnsi="Times New Roman" w:cs="Times New Roman"/>
          <w:sz w:val="28"/>
          <w:szCs w:val="28"/>
        </w:rPr>
        <w:t xml:space="preserve"> МЕ в день, цефалоспорины, тетрациклин,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толбутамид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др.) присоединяется к мембране эритроцита с последующей выработкой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против данного комплекса. Прямая проба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положительная. Гемолиз внутриклеточный, подострый, нетяжелый. В случае фиксации к комплексу комплемента может развиваться внутрисосудистый гемолиз. 2.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Иммунокомплексный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. В ответ на введение лекарственного средства (цефалоспорины, хинин,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хинидин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стибофен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) образуются антитела класса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>, часто фиксирующие комплемент, и элиминация иммунного комплекса происходит на мембране эритроцита с его повреждением как «невинной жертвы». Гемолиз обычно внутрисосудистый, острый, сопровождающийся ОПН, часто обусловлен малыми дозами лекарственного препарата. 3. Аутоиммунный. Лекарственные средства (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метилдопа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флударабин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прокаинамид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др.) способны индуцировать выработку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прямого действия против эритроцитов с развитием заболевания, схожего с идиопатической АИГА с тепловыми агглютининами. Существует ряд лекарственных средств (прежде всего цефалоспорины), которые вызывают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неиммунную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абсорбцию белков на мембране эритроцитов, включая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и компоненты системы комплемента. При этом наблюдают положительную прямую пробу </w:t>
      </w:r>
      <w:proofErr w:type="spellStart"/>
      <w:r w:rsidRPr="006D47EE">
        <w:rPr>
          <w:rFonts w:ascii="Times New Roman" w:hAnsi="Times New Roman" w:cs="Times New Roman"/>
          <w:sz w:val="28"/>
          <w:szCs w:val="28"/>
        </w:rPr>
        <w:t>Кумбса</w:t>
      </w:r>
      <w:proofErr w:type="spellEnd"/>
      <w:r w:rsidRPr="006D47EE">
        <w:rPr>
          <w:rFonts w:ascii="Times New Roman" w:hAnsi="Times New Roman" w:cs="Times New Roman"/>
          <w:sz w:val="28"/>
          <w:szCs w:val="28"/>
        </w:rPr>
        <w:t xml:space="preserve"> при отсутствии гемолиза, что не является основанием для отмены лекарственного средства.</w:t>
      </w:r>
    </w:p>
    <w:p w:rsidR="009D6EA9" w:rsidRDefault="009D6EA9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EA9" w:rsidRDefault="009D6EA9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EA9" w:rsidRDefault="009D6EA9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EA9" w:rsidRDefault="009D6EA9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EA9" w:rsidRDefault="009D6EA9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EA9" w:rsidRPr="009D6EA9" w:rsidRDefault="009D6EA9" w:rsidP="009D6EA9">
      <w:pPr>
        <w:pStyle w:val="1"/>
      </w:pPr>
      <w:bookmarkStart w:id="8" w:name="_Toc39428867"/>
      <w:bookmarkStart w:id="9" w:name="_Toc39432308"/>
      <w:r w:rsidRPr="009D6EA9">
        <w:lastRenderedPageBreak/>
        <w:t>Список литературы</w:t>
      </w:r>
      <w:bookmarkEnd w:id="8"/>
      <w:bookmarkEnd w:id="9"/>
    </w:p>
    <w:p w:rsidR="009D6EA9" w:rsidRPr="005E1227" w:rsidRDefault="009D6EA9" w:rsidP="009D6E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EA9" w:rsidRPr="005E1227" w:rsidRDefault="009D6EA9" w:rsidP="009D6EA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Рукавицын О.А., Гематология</w:t>
      </w:r>
      <w:proofErr w:type="gram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национальное руководство [Электронный ресурс] / под ред. О. А. Рукавицына - М. : ГЭОТАР-Медиа, 2017. - 784 с. - ISBN 978-5-9704-4199-2 –</w:t>
      </w:r>
    </w:p>
    <w:p w:rsidR="009D6EA9" w:rsidRPr="005E1227" w:rsidRDefault="009D6EA9" w:rsidP="009D6EA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Внутренние болезни: гематология: учебное пособие для аудиторной работы студентов 6 курса по специальности 060101 – лечебное дело / сост.: Кузнецова Е.Ю., Тимофеева Л.Н. – Красноярск: типография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КрасГМУ</w:t>
      </w:r>
      <w:proofErr w:type="spell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2010 – 114 с.</w:t>
      </w:r>
    </w:p>
    <w:p w:rsidR="009D6EA9" w:rsidRPr="005E1227" w:rsidRDefault="009D6EA9" w:rsidP="009D6EA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Волкова, С.А. Основы клинической гематологии: учебное пособие / С.А. </w:t>
      </w:r>
      <w:proofErr w:type="gram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 </w:t>
      </w:r>
      <w:proofErr w:type="spellStart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кова</w:t>
      </w:r>
      <w:proofErr w:type="spellEnd"/>
      <w:proofErr w:type="gramEnd"/>
      <w:r w:rsidRPr="005E1227">
        <w:rPr>
          <w:rFonts w:ascii="Times New Roman" w:hAnsi="Times New Roman" w:cs="Times New Roman"/>
          <w:color w:val="000000" w:themeColor="text1"/>
          <w:sz w:val="28"/>
          <w:szCs w:val="28"/>
        </w:rPr>
        <w:t>, Н.Н. Боровков. — Н. Новгород: Издательство Нижегородской гос. медицинской академии, 2013. — 400 с.</w:t>
      </w:r>
    </w:p>
    <w:p w:rsidR="009D6EA9" w:rsidRPr="009D6EA9" w:rsidRDefault="009D6EA9" w:rsidP="006D47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6EA9" w:rsidRPr="009D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2FD4"/>
    <w:multiLevelType w:val="hybridMultilevel"/>
    <w:tmpl w:val="CF72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AB"/>
    <w:rsid w:val="00046078"/>
    <w:rsid w:val="001B1427"/>
    <w:rsid w:val="001B72BB"/>
    <w:rsid w:val="0024243F"/>
    <w:rsid w:val="002B312E"/>
    <w:rsid w:val="00336560"/>
    <w:rsid w:val="003629BB"/>
    <w:rsid w:val="00370197"/>
    <w:rsid w:val="004241B1"/>
    <w:rsid w:val="004B5212"/>
    <w:rsid w:val="00500B1F"/>
    <w:rsid w:val="00537EB0"/>
    <w:rsid w:val="0058071E"/>
    <w:rsid w:val="005E0529"/>
    <w:rsid w:val="0061278F"/>
    <w:rsid w:val="006D47EE"/>
    <w:rsid w:val="007A6295"/>
    <w:rsid w:val="00816D59"/>
    <w:rsid w:val="0084203C"/>
    <w:rsid w:val="008555F2"/>
    <w:rsid w:val="00895B42"/>
    <w:rsid w:val="008A1983"/>
    <w:rsid w:val="00961B21"/>
    <w:rsid w:val="009D6EA9"/>
    <w:rsid w:val="009F30C9"/>
    <w:rsid w:val="00A2075E"/>
    <w:rsid w:val="00A67EBE"/>
    <w:rsid w:val="00B22616"/>
    <w:rsid w:val="00BC663C"/>
    <w:rsid w:val="00C109D5"/>
    <w:rsid w:val="00C21B9A"/>
    <w:rsid w:val="00C43114"/>
    <w:rsid w:val="00C66487"/>
    <w:rsid w:val="00CA42AB"/>
    <w:rsid w:val="00CC48F2"/>
    <w:rsid w:val="00E56223"/>
    <w:rsid w:val="00E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2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Subtitle"/>
    <w:basedOn w:val="a"/>
    <w:next w:val="a"/>
    <w:link w:val="a5"/>
    <w:qFormat/>
    <w:rsid w:val="002424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242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9D6EA9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9D6EA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9D6EA9"/>
    <w:pPr>
      <w:spacing w:after="100"/>
    </w:pPr>
  </w:style>
  <w:style w:type="character" w:styleId="a8">
    <w:name w:val="Hyperlink"/>
    <w:basedOn w:val="a0"/>
    <w:uiPriority w:val="99"/>
    <w:unhideWhenUsed/>
    <w:rsid w:val="009D6EA9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9D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6E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2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2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Subtitle"/>
    <w:basedOn w:val="a"/>
    <w:next w:val="a"/>
    <w:link w:val="a5"/>
    <w:qFormat/>
    <w:rsid w:val="002424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242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9D6EA9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9D6EA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rsid w:val="009D6EA9"/>
    <w:pPr>
      <w:spacing w:after="100"/>
    </w:pPr>
  </w:style>
  <w:style w:type="character" w:styleId="a8">
    <w:name w:val="Hyperlink"/>
    <w:basedOn w:val="a0"/>
    <w:uiPriority w:val="99"/>
    <w:unhideWhenUsed/>
    <w:rsid w:val="009D6EA9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9D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6E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F224-5FF1-40D9-9D89-D6EBF3ED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ПЗ</dc:creator>
  <cp:keywords/>
  <dc:description/>
  <cp:lastModifiedBy>ПЗ</cp:lastModifiedBy>
  <cp:revision>3</cp:revision>
  <dcterms:created xsi:type="dcterms:W3CDTF">2020-05-03T13:14:00Z</dcterms:created>
  <dcterms:modified xsi:type="dcterms:W3CDTF">2020-05-03T14:05:00Z</dcterms:modified>
</cp:coreProperties>
</file>