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4" w:rsidRPr="00F46B3B" w:rsidRDefault="00B64824" w:rsidP="00B648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Министерства здравоохранения Российской Федерации </w:t>
      </w: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  <w:r>
        <w:t xml:space="preserve">Кафедра Педиатрии ИПО </w:t>
      </w:r>
    </w:p>
    <w:p w:rsidR="00B64824" w:rsidRDefault="00B64824" w:rsidP="00B64824">
      <w:pPr>
        <w:jc w:val="center"/>
      </w:pPr>
    </w:p>
    <w:p w:rsidR="00B64824" w:rsidRDefault="00B64824" w:rsidP="00B64824">
      <w:pPr>
        <w:jc w:val="right"/>
      </w:pPr>
      <w:r>
        <w:t xml:space="preserve">Зав. кафедрой: д.м.н., профессор Таранушенко Т.Е. </w:t>
      </w:r>
    </w:p>
    <w:p w:rsidR="00B64824" w:rsidRDefault="003901EF" w:rsidP="00B64824">
      <w:pPr>
        <w:jc w:val="right"/>
      </w:pPr>
      <w:r>
        <w:t xml:space="preserve">Проверил: КМН, доц. кафедры </w:t>
      </w:r>
      <w:proofErr w:type="spellStart"/>
      <w:r>
        <w:t>Макарец</w:t>
      </w:r>
      <w:proofErr w:type="spellEnd"/>
      <w:r>
        <w:t xml:space="preserve"> Б.Г.</w:t>
      </w: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Pr="00F46B3B" w:rsidRDefault="00B64824" w:rsidP="00B648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на тему: </w:t>
      </w:r>
      <w:proofErr w:type="spellStart"/>
      <w:r w:rsidR="0039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</w:t>
      </w:r>
      <w:proofErr w:type="spellEnd"/>
      <w:r w:rsidR="0039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  <w:r>
        <w:t xml:space="preserve">Выполнил: врач-ординатор Звонарёв П.А. </w:t>
      </w: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  <w:r>
        <w:t>Красноярск 2023 г</w:t>
      </w:r>
    </w:p>
    <w:p w:rsidR="004653E1" w:rsidRPr="00392750" w:rsidRDefault="004653E1">
      <w:pPr>
        <w:rPr>
          <w:lang w:val="en-US"/>
        </w:rPr>
      </w:pPr>
    </w:p>
    <w:p w:rsidR="002A3724" w:rsidRPr="002F3AF5" w:rsidRDefault="00392750" w:rsidP="002F3AF5">
      <w:pPr>
        <w:pStyle w:val="2"/>
      </w:pPr>
      <w:r w:rsidRPr="002F3AF5">
        <w:lastRenderedPageBreak/>
        <w:t>Оглавление</w:t>
      </w:r>
    </w:p>
    <w:p w:rsidR="00392750" w:rsidRPr="002F3AF5" w:rsidRDefault="00392750">
      <w:pPr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>Введение</w:t>
      </w:r>
      <w:r w:rsidR="002F3AF5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2F3AF5" w:rsidRPr="002F3AF5" w:rsidRDefault="002F3AF5" w:rsidP="002F3AF5">
      <w:pPr>
        <w:pStyle w:val="2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F3AF5">
        <w:rPr>
          <w:rFonts w:eastAsiaTheme="minorHAnsi"/>
          <w:b w:val="0"/>
          <w:bCs w:val="0"/>
          <w:sz w:val="28"/>
          <w:szCs w:val="28"/>
          <w:lang w:eastAsia="en-US"/>
        </w:rPr>
        <w:t>Определение заболевания и классификация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…………………….4</w:t>
      </w:r>
    </w:p>
    <w:p w:rsidR="002F3AF5" w:rsidRPr="002F3AF5" w:rsidRDefault="002F3AF5" w:rsidP="002F3AF5">
      <w:pPr>
        <w:pStyle w:val="2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F3AF5">
        <w:rPr>
          <w:rFonts w:eastAsiaTheme="minorHAnsi"/>
          <w:b w:val="0"/>
          <w:bCs w:val="0"/>
          <w:sz w:val="28"/>
          <w:szCs w:val="28"/>
          <w:lang w:eastAsia="en-US"/>
        </w:rPr>
        <w:t>Этиология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………………………………………………………….6</w:t>
      </w:r>
    </w:p>
    <w:p w:rsidR="002F3AF5" w:rsidRPr="002F3AF5" w:rsidRDefault="002F3AF5" w:rsidP="002F3AF5">
      <w:pPr>
        <w:pStyle w:val="2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F3AF5">
        <w:rPr>
          <w:rFonts w:eastAsiaTheme="minorHAnsi"/>
          <w:b w:val="0"/>
          <w:bCs w:val="0"/>
          <w:sz w:val="28"/>
          <w:szCs w:val="28"/>
          <w:lang w:eastAsia="en-US"/>
        </w:rPr>
        <w:t xml:space="preserve">Условия, способствующие возникновению </w:t>
      </w:r>
      <w:proofErr w:type="spellStart"/>
      <w:r w:rsidRPr="002F3AF5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>…….8</w:t>
      </w:r>
    </w:p>
    <w:p w:rsidR="002A3724" w:rsidRPr="002F3AF5" w:rsidRDefault="002F3AF5">
      <w:pPr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>Эпидемиология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……………………………………………………9</w:t>
      </w:r>
    </w:p>
    <w:p w:rsidR="002F3AF5" w:rsidRPr="002F3AF5" w:rsidRDefault="002F3AF5" w:rsidP="002F3AF5">
      <w:pPr>
        <w:pStyle w:val="2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F3AF5">
        <w:rPr>
          <w:rFonts w:eastAsiaTheme="minorHAnsi"/>
          <w:b w:val="0"/>
          <w:bCs w:val="0"/>
          <w:sz w:val="28"/>
          <w:szCs w:val="28"/>
          <w:lang w:eastAsia="en-US"/>
        </w:rPr>
        <w:t>Клиническая картина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……………………………………………..10</w:t>
      </w:r>
    </w:p>
    <w:p w:rsidR="002A3724" w:rsidRPr="002F3AF5" w:rsidRDefault="002F3AF5">
      <w:pPr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……………………………………………………….11</w:t>
      </w:r>
    </w:p>
    <w:p w:rsidR="002F3AF5" w:rsidRPr="002F3AF5" w:rsidRDefault="002F3AF5">
      <w:pPr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</w:t>
      </w:r>
      <w:proofErr w:type="spellStart"/>
      <w:r w:rsidRPr="002F3AF5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2F3AF5">
        <w:rPr>
          <w:rFonts w:ascii="Times New Roman" w:hAnsi="Times New Roman" w:cs="Times New Roman"/>
          <w:sz w:val="28"/>
          <w:szCs w:val="28"/>
        </w:rPr>
        <w:t xml:space="preserve"> с циститом</w:t>
      </w:r>
      <w:r>
        <w:rPr>
          <w:rFonts w:ascii="Times New Roman" w:hAnsi="Times New Roman" w:cs="Times New Roman"/>
          <w:sz w:val="28"/>
          <w:szCs w:val="28"/>
        </w:rPr>
        <w:t>…...14</w:t>
      </w:r>
    </w:p>
    <w:p w:rsidR="002F3AF5" w:rsidRPr="002F3AF5" w:rsidRDefault="002F3AF5">
      <w:pPr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>Тактика терапии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…………………………………………………..15</w:t>
      </w:r>
    </w:p>
    <w:p w:rsidR="002F3AF5" w:rsidRPr="002F3AF5" w:rsidRDefault="002F3AF5">
      <w:pPr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>Профилактика и диспансеризация</w:t>
      </w:r>
      <w:r>
        <w:rPr>
          <w:rFonts w:ascii="Times New Roman" w:hAnsi="Times New Roman" w:cs="Times New Roman"/>
          <w:sz w:val="28"/>
          <w:szCs w:val="28"/>
        </w:rPr>
        <w:t>………………………………18</w:t>
      </w:r>
    </w:p>
    <w:p w:rsidR="002F3AF5" w:rsidRPr="002F3AF5" w:rsidRDefault="002F3AF5">
      <w:pPr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……………………………………………….20</w:t>
      </w:r>
    </w:p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Pr="002F3AF5" w:rsidRDefault="002A3724"/>
    <w:p w:rsidR="00392750" w:rsidRPr="002F3AF5" w:rsidRDefault="00392750"/>
    <w:p w:rsidR="002A3724" w:rsidRDefault="002A3724" w:rsidP="002A3724">
      <w:pPr>
        <w:pStyle w:val="2"/>
        <w:jc w:val="center"/>
      </w:pPr>
      <w:bookmarkStart w:id="0" w:name="_Toc141309864"/>
      <w:r>
        <w:lastRenderedPageBreak/>
        <w:t>Введение</w:t>
      </w:r>
      <w:bookmarkEnd w:id="0"/>
    </w:p>
    <w:p w:rsidR="003901EF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bookmarkStart w:id="1" w:name="_Toc141309873"/>
      <w:r w:rsidRPr="00392750">
        <w:rPr>
          <w:rFonts w:ascii="Times New Roman" w:hAnsi="Times New Roman" w:cs="Times New Roman"/>
          <w:sz w:val="28"/>
          <w:szCs w:val="28"/>
        </w:rPr>
        <w:t xml:space="preserve">На данный момент времени инфекция мочевыделительной системы (ИМВС) у детей остается актуальной проблемой. Наиболее </w:t>
      </w:r>
      <w:r w:rsidR="008B4A7D" w:rsidRPr="00392750">
        <w:rPr>
          <w:rFonts w:ascii="Times New Roman" w:hAnsi="Times New Roman" w:cs="Times New Roman"/>
          <w:sz w:val="28"/>
          <w:szCs w:val="28"/>
        </w:rPr>
        <w:t>опасной патологией</w:t>
      </w:r>
      <w:r w:rsidRPr="0039275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хоть и не так часто </w:t>
      </w:r>
      <w:r w:rsidR="008B4A7D" w:rsidRPr="00392750">
        <w:rPr>
          <w:rFonts w:ascii="Times New Roman" w:hAnsi="Times New Roman" w:cs="Times New Roman"/>
          <w:sz w:val="28"/>
          <w:szCs w:val="28"/>
        </w:rPr>
        <w:t>диагностируется</w:t>
      </w:r>
      <w:r w:rsidRPr="00392750">
        <w:rPr>
          <w:rFonts w:ascii="Times New Roman" w:hAnsi="Times New Roman" w:cs="Times New Roman"/>
          <w:sz w:val="28"/>
          <w:szCs w:val="28"/>
        </w:rPr>
        <w:t>, как инфекция нижних мочевых путей, однако представляет серьезную опасность для здоровья и в тяжелых случаях может приводить к значительному повреждению интерстициальной ткани почек и развитию хронической болезни почек (ХБП</w:t>
      </w:r>
      <w:r w:rsidR="008B4A7D" w:rsidRPr="00392750">
        <w:rPr>
          <w:rFonts w:ascii="Times New Roman" w:hAnsi="Times New Roman" w:cs="Times New Roman"/>
          <w:sz w:val="28"/>
          <w:szCs w:val="28"/>
        </w:rPr>
        <w:t>).</w:t>
      </w:r>
    </w:p>
    <w:p w:rsidR="003901EF" w:rsidRPr="00AF5DE0" w:rsidRDefault="003901EF" w:rsidP="00AF5DE0">
      <w:pPr>
        <w:pStyle w:val="2"/>
        <w:rPr>
          <w:b w:val="0"/>
          <w:bCs w:val="0"/>
          <w:color w:val="000000"/>
          <w:sz w:val="28"/>
          <w:szCs w:val="2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</w:p>
    <w:p w:rsidR="003901EF" w:rsidRDefault="003901EF" w:rsidP="008B4A7D">
      <w:pPr>
        <w:pStyle w:val="2"/>
        <w:rPr>
          <w:shd w:val="clear" w:color="auto" w:fill="F3F5F8"/>
        </w:rPr>
      </w:pPr>
    </w:p>
    <w:p w:rsidR="003901EF" w:rsidRDefault="003901EF" w:rsidP="00A57265">
      <w:pPr>
        <w:pStyle w:val="2"/>
        <w:jc w:val="center"/>
        <w:rPr>
          <w:shd w:val="clear" w:color="auto" w:fill="F3F5F8"/>
        </w:rPr>
      </w:pPr>
      <w:r>
        <w:rPr>
          <w:shd w:val="clear" w:color="auto" w:fill="F3F5F8"/>
        </w:rPr>
        <w:lastRenderedPageBreak/>
        <w:t xml:space="preserve">Определение заболевания и </w:t>
      </w:r>
      <w:r w:rsidR="00171157">
        <w:rPr>
          <w:shd w:val="clear" w:color="auto" w:fill="F3F5F8"/>
        </w:rPr>
        <w:t>классификация</w:t>
      </w:r>
    </w:p>
    <w:p w:rsidR="00B6172C" w:rsidRPr="00392750" w:rsidRDefault="00B6172C" w:rsidP="00B6172C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Инфекция мочевыводящих путей (ИМВП) – рост бактерий в мочевом тракте.</w:t>
      </w:r>
    </w:p>
    <w:p w:rsidR="00D40A66" w:rsidRPr="00392750" w:rsidRDefault="00737D8A" w:rsidP="00B6172C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Инфекция мочевыводящих</w:t>
      </w:r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путей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 </w:t>
      </w:r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 – это их бактериальное поражение на любом уровне, будь то мочевой пузырь (цистит), почечная лоханка (пиелит) или почечная паренхима (</w:t>
      </w:r>
      <w:proofErr w:type="spellStart"/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).</w:t>
      </w:r>
    </w:p>
    <w:p w:rsidR="00121E11" w:rsidRPr="00392750" w:rsidRDefault="00121E11" w:rsidP="003901EF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— это неспецифическое инфекционно-воспалительное заболевание почек с преимущественным поражением чашечно-лоханочной системы (ЧЛС), канальцев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интерстиция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Согласно классификации Всемирной организации здравоохранения (ВОЗ),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относится к группе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тубулоинтерстициальных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нефритов и фактически представляет собой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тубулоинтерстициальный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нефрит инфекционного генеза</w:t>
      </w:r>
      <w:r w:rsidR="00171157" w:rsidRPr="0039275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171157" w:rsidRPr="00392750" w:rsidRDefault="00171157" w:rsidP="003901EF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сегодняшний день актуальным остается вопрос о первичности и вторичности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особенно хронического, а также о роли обструкции мочевых путей при развитии тех или иных его вариантов. Эти признаки положены в основу классификации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171157" w:rsidRPr="00392750" w:rsidRDefault="00171157" w:rsidP="003901EF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Наиболее часто используется классификация, предложенная М. Я.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Студеникиным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соавторами в 1980 г., определяющая форму (первичный, вторичный), характер течения (острый, хронический), активность заболевания и функции почек. В. Г.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Майданник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соавторы (2002) предложили указывать также стадию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пиелонефритического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процесса (инфильтративная, склеротическая) и степень активности заболевания.</w:t>
      </w:r>
    </w:p>
    <w:p w:rsidR="00171157" w:rsidRPr="00392750" w:rsidRDefault="00171157" w:rsidP="00171157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Первичным называется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при котором в ходе обследования не удается выявить никаких факторов, способствующих фиксации микроорганизмов в ткани почек, т. е. когда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микробно-воспалительный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процесс развивается в изначально здоровом органе.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Вторичный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обусловлен конкретными факторами.</w:t>
      </w:r>
    </w:p>
    <w:p w:rsidR="00171157" w:rsidRPr="00392750" w:rsidRDefault="00171157" w:rsidP="00171157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свою очередь,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вторичный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подразделяется на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обструктивный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необструктивный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Вторичный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обструктивный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развивается на фоне органических (врожденных, наследственных и приобретенных) или функциональных нарушений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уродинамики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; вторичный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необструктивный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— на фоне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дисметаболических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нарушений (вторичный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дисметаболический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), расстройств гемодинамики,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иммунодефицитных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состояний, эндокринных нарушений и др.</w:t>
      </w:r>
    </w:p>
    <w:p w:rsidR="003901EF" w:rsidRPr="00392750" w:rsidRDefault="003901EF" w:rsidP="003901EF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Острый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– воспалительное заболевание почечной паренхимы и лоханки, возникшее вследствие бактериальной инфекции</w:t>
      </w:r>
      <w:r w:rsidR="00121E11" w:rsidRPr="0039275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171157" w:rsidRPr="00392750" w:rsidRDefault="00171157" w:rsidP="003901EF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Острое течение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характеризуется переходом активной стадии заболевания (лихорадка,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лейкоцитурия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, бактериурия) в период обратного развития симптомов с развитием полной клинико-лабораторной ремиссии при длительности воспалительного процесса в почках менее 6 мес.</w:t>
      </w:r>
    </w:p>
    <w:p w:rsidR="00121E11" w:rsidRPr="00392750" w:rsidRDefault="00121E11" w:rsidP="003901EF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Хронический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– повреждение почек, проявляющееся фиброзом и деформацией чашечно-лоханочной системы, в результате повторных атак инфекции МВП. Как правило, возникает на фоне анатомических аномалий мочевыводящего тракта или обструкции.</w:t>
      </w:r>
    </w:p>
    <w:p w:rsidR="00171157" w:rsidRPr="00392750" w:rsidRDefault="00171157" w:rsidP="00171157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Хроническое течение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характеризуется сохранением симптомов заболевания более 6 </w:t>
      </w:r>
      <w:proofErr w:type="spellStart"/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мес</w:t>
      </w:r>
      <w:proofErr w:type="spellEnd"/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его начала или наличием в этот период не менее двух рецидивов и, как правило, наблюдается при вторичном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пиелонефрите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По характеру течения выделяют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латентный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или рецидивирующий хронический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Рецидивирующее течение характеризуется периодами обострения, протекающими с клиникой острого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(мочевой и болевой синдромы, симптомы общей интоксикации), и ремиссиями.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Латентное течение хронической формы характеризуется только мочевым синдромом различной степени выраженности.</w:t>
      </w:r>
    </w:p>
    <w:p w:rsidR="00171157" w:rsidRPr="00392750" w:rsidRDefault="00171157" w:rsidP="00171157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Как правило,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хронический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всегда вторичен и развивается чаще всего по типу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обструктивно-дисметаболического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фоне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дисметаболической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нефропатии, нейрогенной дисфункции мочевого пузыря,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обструктивных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уропатий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др. </w:t>
      </w:r>
    </w:p>
    <w:p w:rsidR="00171157" w:rsidRPr="003901EF" w:rsidRDefault="00171157" w:rsidP="003901EF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3901EF" w:rsidRDefault="003901EF" w:rsidP="00A57265">
      <w:pPr>
        <w:pStyle w:val="2"/>
        <w:jc w:val="center"/>
      </w:pPr>
    </w:p>
    <w:p w:rsidR="003901EF" w:rsidRDefault="003901EF" w:rsidP="00A57265">
      <w:pPr>
        <w:pStyle w:val="2"/>
        <w:jc w:val="center"/>
      </w:pPr>
    </w:p>
    <w:p w:rsidR="003901EF" w:rsidRDefault="003901EF" w:rsidP="00A57265">
      <w:pPr>
        <w:pStyle w:val="2"/>
        <w:jc w:val="center"/>
      </w:pPr>
    </w:p>
    <w:p w:rsidR="003901EF" w:rsidRDefault="003901EF" w:rsidP="00A57265">
      <w:pPr>
        <w:pStyle w:val="2"/>
        <w:jc w:val="center"/>
      </w:pPr>
    </w:p>
    <w:p w:rsidR="003901EF" w:rsidRDefault="003901EF" w:rsidP="00A57265">
      <w:pPr>
        <w:pStyle w:val="2"/>
        <w:jc w:val="center"/>
      </w:pPr>
    </w:p>
    <w:p w:rsidR="003901EF" w:rsidRDefault="003901EF" w:rsidP="00A57265">
      <w:pPr>
        <w:pStyle w:val="2"/>
        <w:jc w:val="center"/>
      </w:pPr>
    </w:p>
    <w:p w:rsidR="003901EF" w:rsidRDefault="003901EF" w:rsidP="00A57265">
      <w:pPr>
        <w:pStyle w:val="2"/>
        <w:jc w:val="center"/>
      </w:pPr>
    </w:p>
    <w:p w:rsidR="003901EF" w:rsidRDefault="003901EF" w:rsidP="00737D8A">
      <w:pPr>
        <w:pStyle w:val="2"/>
      </w:pPr>
    </w:p>
    <w:p w:rsidR="003901EF" w:rsidRDefault="00B6172C" w:rsidP="00A57265">
      <w:pPr>
        <w:pStyle w:val="2"/>
        <w:jc w:val="center"/>
      </w:pPr>
      <w:r>
        <w:lastRenderedPageBreak/>
        <w:t>Этиология</w:t>
      </w:r>
    </w:p>
    <w:p w:rsidR="003901EF" w:rsidRPr="00392750" w:rsidRDefault="00B6172C" w:rsidP="00B6172C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этиологической структуре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у детей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Escherichia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coli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по-прежнему занимает лидирующие позиции и выявляется у 80–90% пациентов с первичной ИМС, а также становится причиной рецидива у 60% детей. Другие бактериальные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патогены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–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Enterobacteriaceae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такие как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Proteus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Klebsiella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а также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Staphylococcus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Streptococcus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901EF" w:rsidRDefault="00B6172C" w:rsidP="00A57265">
      <w:pPr>
        <w:pStyle w:val="2"/>
        <w:jc w:val="center"/>
      </w:pPr>
      <w:r>
        <w:rPr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5931535" cy="41903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EF" w:rsidRPr="00392750" w:rsidRDefault="00B6172C" w:rsidP="00B6172C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Особого внимания заслуживают факторы патогенности микроорганизмов. Ведущая роль кишечной палочки и других представителей семейства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Enterobacteriacae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развитии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обусловлена наличием у них вирулентных (способность проникать в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макроорганизм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) и патогенных свойств (способность вызывать патологический процесс). Развитие воспалительного процесса начинается после проникновения возбудителя в мочевые пути, адгезии его на поверхности эпителия и его колонизации</w:t>
      </w:r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Свойствами, схожими с кишечной палочкой, обладают в той или иной степени все представители семейства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Enterobacteriacae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Среди представителей других семейств можно отметить такие факторы патогенности, как мукополисахаридная капсула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Pseudomonas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aerugenosa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которая препятствует действию антител и угнетает фагоцитоз.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Proteus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mirabilis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обладает способностью расщеплять мочевину до аммиака, повышая тем самым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pH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что ведет к повреждению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уротелия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proofErr w:type="spellStart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>инактивации</w:t>
      </w:r>
      <w:proofErr w:type="spellEnd"/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антибиотиков, активных в кислой среде. Таким образом, бактериальные </w:t>
      </w:r>
      <w:r w:rsidR="00450E5E" w:rsidRPr="0039275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агенты обладают выраженными вирулентными и патогенными свойствами, что позволяет им вызывать воспалительный процесс.</w:t>
      </w: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Default="00450E5E" w:rsidP="00B6172C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450E5E" w:rsidRPr="00450E5E" w:rsidRDefault="00450E5E" w:rsidP="00450E5E">
      <w:pPr>
        <w:pStyle w:val="2"/>
        <w:jc w:val="center"/>
      </w:pPr>
      <w:r w:rsidRPr="00450E5E">
        <w:lastRenderedPageBreak/>
        <w:t xml:space="preserve">Условия, способствующие возникновению </w:t>
      </w:r>
      <w:proofErr w:type="spellStart"/>
      <w:r w:rsidRPr="00450E5E">
        <w:t>пиелонефрита</w:t>
      </w:r>
      <w:proofErr w:type="spellEnd"/>
    </w:p>
    <w:p w:rsidR="00450E5E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Условия, способствующие возникновению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можно разделить на общие и местные. Реализация общих предпосылок происходит на местном уровне путем изменения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местной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резистентности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</w:p>
    <w:p w:rsidR="00450E5E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Можно выделить следующие факторы местной защиты от инфицирования мочевых путей: </w:t>
      </w:r>
    </w:p>
    <w:p w:rsidR="00450E5E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• удаление при мочеиспускании инфицированной мочи и смыв микробов со стенки мочевого пузыря; </w:t>
      </w:r>
    </w:p>
    <w:p w:rsidR="00450E5E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•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низкий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pH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мочи и колебания ее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осмолярности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450E5E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• присутствие в моче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IgA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IgG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уромукоида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(белок Тамма–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Хорсфалла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), богатого остатками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маннозы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которой реагируют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фимбрии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E.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coli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450E5E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• слой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мукополисахаридов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выстилающих слизистую оболочку мочевого пузыря, и присутствие в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подслизистом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слое макрофагов. </w:t>
      </w:r>
    </w:p>
    <w:p w:rsidR="00450E5E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В настоящее время выделяют несколько факторов риска, определяющих предрасположенность к возникновению ИМС. К ним относятся ранний детский возраст, пол, воспалительные заболевания промежности, анатомические и функциональные нарушения, дефекты иммунитета, патогенные свойства возбудителя. К функциональным нарушениям относятся запор,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дисфункциональное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мочеиспускание, обменные нарушения.</w:t>
      </w:r>
    </w:p>
    <w:p w:rsidR="003901EF" w:rsidRPr="00392750" w:rsidRDefault="00450E5E" w:rsidP="00450E5E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Тем не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менее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следует отметить, что любые факторы риска лишь увеличивают вероятность развития ИМС и, как правило, необходимо наличие вторичных механизмов для проникновения бактерий в верхние мочевые пути, что в свою очередь приводит к развитию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Так, по данным Американской академии педиатрии, после первого эпизода ИМС, протекающей с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фебрильной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лихорадкой, у 30–50% детей определяется пузырно-мочеточниковый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рефлюкс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При плановом ультразвуковом исследовании в перинатальном периоде только у 1% пациентов отмечается анатомическая обструкция мочевыводящих путей, которую можно рассматривать в качестве причины возникновения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Таким образом, в целом механизм развития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у детей сводится к нарушению процессов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уродинамики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комбинации с факторами риска и нарушением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адгезивных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свой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ств сл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изистых оболочек мочевой системы.</w:t>
      </w:r>
    </w:p>
    <w:p w:rsidR="003901EF" w:rsidRDefault="003901EF" w:rsidP="002F3AF5">
      <w:pPr>
        <w:pStyle w:val="2"/>
      </w:pPr>
    </w:p>
    <w:p w:rsidR="002F3AF5" w:rsidRDefault="002F3AF5" w:rsidP="002F3AF5">
      <w:pPr>
        <w:pStyle w:val="2"/>
      </w:pPr>
    </w:p>
    <w:p w:rsidR="003901EF" w:rsidRDefault="00450E5E" w:rsidP="00A57265">
      <w:pPr>
        <w:pStyle w:val="2"/>
        <w:jc w:val="center"/>
      </w:pPr>
      <w:r>
        <w:lastRenderedPageBreak/>
        <w:t>Эпидемиология</w:t>
      </w:r>
    </w:p>
    <w:p w:rsidR="00450E5E" w:rsidRPr="00392750" w:rsidRDefault="00450E5E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РФ среди детей распространенность ИМС - 18-22:1000,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>елонефрита</w:t>
      </w:r>
      <w:proofErr w:type="spellEnd"/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— от 0,3% до 4,0%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трудности дифференциальной диагностики ИМС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искажают показатели распространенности. В младшем возрасте, особенно в 4-5 </w:t>
      </w:r>
      <w:proofErr w:type="spellStart"/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мес</w:t>
      </w:r>
      <w:proofErr w:type="spellEnd"/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повышена частота острых респираторных инфекций, этот возраст совпадает с началом проведения профилактических прививок и переходом на искусственное вскармливание, это обуславливает повышенную восприимчивость 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>органов мочевыводящей системы (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ОМС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микробным агентам.</w:t>
      </w:r>
    </w:p>
    <w:p w:rsidR="00450E5E" w:rsidRPr="00392750" w:rsidRDefault="00450E5E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В большинстве случаев (50-70%) заболевание начинается в раннем детстве, в дальнейшем может быть стойкая ремиссия. При первичной диагностике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период новорожденности рецидивы заболевания - в 25 % случаев. До возраста 3-мес ИМС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диагностируются чаще у мальчиков, 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>в связи с большим случаем аномалий ОМС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; в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более старше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возрасте - у девочек (2%). В возрасте 1 год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4 раза чаще у девочек, чем у мальчиков; к 3-м годам у девочек 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увеличивается частота 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в 10 раз.</w:t>
      </w:r>
    </w:p>
    <w:p w:rsidR="00450E5E" w:rsidRPr="00392750" w:rsidRDefault="00450E5E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Среди госпитализируемых лихорадящих детей грудного 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>и раннего возраста ИМС у 10-15%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; среди тяжелых бактериальных инфекций в этом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возрасте ИМС - самая частая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Среди причин терминальной хронической почечной недостаточности 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хронический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занимает 3-е место после пороков развития ОМС 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гломерулонефрита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; имеет место у 3% взрослого населения, по данным аутопсии частота характерных для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изменений - 15% случаев.</w:t>
      </w:r>
    </w:p>
    <w:p w:rsidR="00450E5E" w:rsidRDefault="00450E5E" w:rsidP="00A57265">
      <w:pPr>
        <w:pStyle w:val="2"/>
        <w:jc w:val="center"/>
      </w:pPr>
    </w:p>
    <w:p w:rsidR="003901EF" w:rsidRDefault="003901EF" w:rsidP="00A57265">
      <w:pPr>
        <w:pStyle w:val="2"/>
        <w:jc w:val="center"/>
      </w:pPr>
    </w:p>
    <w:p w:rsidR="00EB38F8" w:rsidRDefault="00EB38F8" w:rsidP="00A57265">
      <w:pPr>
        <w:pStyle w:val="2"/>
        <w:jc w:val="center"/>
      </w:pPr>
    </w:p>
    <w:p w:rsidR="00EB38F8" w:rsidRDefault="00EB38F8" w:rsidP="00A57265">
      <w:pPr>
        <w:pStyle w:val="2"/>
        <w:jc w:val="center"/>
      </w:pPr>
    </w:p>
    <w:p w:rsidR="00EB38F8" w:rsidRDefault="00EB38F8" w:rsidP="00A57265">
      <w:pPr>
        <w:pStyle w:val="2"/>
        <w:jc w:val="center"/>
      </w:pPr>
    </w:p>
    <w:p w:rsidR="00EB38F8" w:rsidRDefault="00EB38F8" w:rsidP="00A57265">
      <w:pPr>
        <w:pStyle w:val="2"/>
        <w:jc w:val="center"/>
      </w:pPr>
    </w:p>
    <w:p w:rsidR="00EB38F8" w:rsidRDefault="00EB38F8" w:rsidP="00A57265">
      <w:pPr>
        <w:pStyle w:val="2"/>
        <w:jc w:val="center"/>
      </w:pPr>
    </w:p>
    <w:p w:rsidR="00EB38F8" w:rsidRDefault="00EB38F8" w:rsidP="00A57265">
      <w:pPr>
        <w:pStyle w:val="2"/>
        <w:jc w:val="center"/>
      </w:pPr>
    </w:p>
    <w:p w:rsidR="00EB38F8" w:rsidRDefault="00EB38F8" w:rsidP="00A57265">
      <w:pPr>
        <w:pStyle w:val="2"/>
        <w:jc w:val="center"/>
      </w:pPr>
      <w:r>
        <w:lastRenderedPageBreak/>
        <w:t>Клиническая картина</w:t>
      </w:r>
    </w:p>
    <w:p w:rsidR="00D40A66" w:rsidRPr="00392750" w:rsidRDefault="00EB38F8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Поскольку клинические проявления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могут быть очень неспецифичными, помимо клинического анализа мочи и определения возбудителя ИМС оценивают состояние заболевшего ребенка, в первую очередь с лихорадкой неясного генеза. </w:t>
      </w:r>
    </w:p>
    <w:p w:rsidR="00D40A66" w:rsidRPr="00392750" w:rsidRDefault="00EB38F8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У детей младше 2 лет и особенно новорожденных выявляют также признаки системной инфекции, включая снижение активности, плохой аппетит, астению, диарею и гипотензию. Редко бывает бессимптомная желтуха. В возрасте от 2 до 5 лет отмечаются неспецифичные жалобы, такие как боль в животе в сочетании с высокой температурой тела. </w:t>
      </w:r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В целом ИМВП (</w:t>
      </w:r>
      <w:proofErr w:type="spellStart"/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</w:t>
      </w:r>
      <w:proofErr w:type="spellEnd"/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) с большей долей вероятности следует предположить у младенцев с температурой ≥ 39 ° C, чем у детей с температурой &lt;39 ° C.</w:t>
      </w:r>
    </w:p>
    <w:p w:rsidR="00D40A66" w:rsidRPr="00392750" w:rsidRDefault="00EB38F8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Дети старше 5 лет в подавляющем большинстве случаев высказывают классические жалобы, свидетельствующие о развитии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. Обычно это дизурия, учащенное мочеиспускание, императивное мочеиспускание, лихорадка, бол</w:t>
      </w:r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ь в боку, редко – гематурия</w:t>
      </w: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D40A66" w:rsidRPr="00392750" w:rsidRDefault="00D40A66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При осмотре могут отмечаться: </w:t>
      </w:r>
    </w:p>
    <w:p w:rsidR="00D40A66" w:rsidRPr="00392750" w:rsidRDefault="00D40A66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-бледность кожных покровов; </w:t>
      </w:r>
    </w:p>
    <w:p w:rsidR="00D40A66" w:rsidRPr="00392750" w:rsidRDefault="00D40A66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-тахикардия; </w:t>
      </w:r>
    </w:p>
    <w:p w:rsidR="00D40A66" w:rsidRPr="00392750" w:rsidRDefault="00D40A66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-симптомы дегидратации (преимущественно у новорожденных и детей грудного возраста), отсутствие катаральных явлений при повышении температуры (чаще до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фебрильных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цифр, реж</w:t>
      </w:r>
      <w:proofErr w:type="gram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е-</w:t>
      </w:r>
      <w:proofErr w:type="gram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субфебрильных); </w:t>
      </w:r>
    </w:p>
    <w:p w:rsidR="00D40A66" w:rsidRPr="00392750" w:rsidRDefault="00D40A66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-болезненность при поколачивании или, у маленьких детей, - при надавливании пальцем между основанием 12-го ребра и позвоночником.</w:t>
      </w:r>
      <w:r w:rsidR="00EB38F8"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EB38F8" w:rsidRPr="00392750" w:rsidRDefault="00EB38F8" w:rsidP="00EB38F8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Трудность диагностики подтверждается тем фактом, что у 25% детей, у которых не было классических признаков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впоследствии диагностировали наличие инфекции верхних мочевых путей, а до 50% детей с болью в боку и лихорадкой не имели признаков </w:t>
      </w:r>
      <w:proofErr w:type="spellStart"/>
      <w:r w:rsidRPr="00392750">
        <w:rPr>
          <w:rFonts w:eastAsiaTheme="minorHAnsi"/>
          <w:b w:val="0"/>
          <w:bCs w:val="0"/>
          <w:sz w:val="28"/>
          <w:szCs w:val="28"/>
          <w:lang w:eastAsia="en-US"/>
        </w:rPr>
        <w:t>пиелонефрита</w:t>
      </w:r>
      <w:proofErr w:type="spellEnd"/>
      <w:r w:rsidR="00D40A66" w:rsidRPr="0039275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D40A66" w:rsidRDefault="00D40A66" w:rsidP="00A57265">
      <w:pPr>
        <w:pStyle w:val="2"/>
        <w:jc w:val="center"/>
      </w:pPr>
    </w:p>
    <w:p w:rsidR="00D40A66" w:rsidRDefault="00D40A66" w:rsidP="00A57265">
      <w:pPr>
        <w:pStyle w:val="2"/>
        <w:jc w:val="center"/>
      </w:pPr>
    </w:p>
    <w:p w:rsidR="00D40A66" w:rsidRDefault="00D40A66" w:rsidP="00A57265">
      <w:pPr>
        <w:pStyle w:val="2"/>
        <w:jc w:val="center"/>
      </w:pPr>
    </w:p>
    <w:p w:rsidR="00D40A66" w:rsidRDefault="00D40A66" w:rsidP="00A57265">
      <w:pPr>
        <w:pStyle w:val="2"/>
        <w:jc w:val="center"/>
      </w:pPr>
    </w:p>
    <w:p w:rsidR="00D40A66" w:rsidRDefault="00D40A66" w:rsidP="00A57265">
      <w:pPr>
        <w:pStyle w:val="2"/>
        <w:jc w:val="center"/>
      </w:pPr>
      <w:r>
        <w:lastRenderedPageBreak/>
        <w:t>Диагностика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В алгоритм исследований при подозрении на 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включают анализ жалоб больного, тщательный сбор анамнеза (обращается внимание на 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преморбидный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фон, течение беременности, родословную, наличие обменных нарушений у членов семьи) и клинико-лабораторные данные. Стандарты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параклинических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исследований у детей с 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составлены с учетом Приказа №151 МЗ РФ от 7.05.98 «О временных отраслевых стандартах объема медицинской помощи детям». Обязательные методы исследования проводятся всем больным, дополнительные – по специальным показаниям. 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В качестве диагностического метода рекомендуется проведение клинического (общего) анализа мочи с определением удельного веса мочи, подсчётом количества лейкоцитов, эритроцитов, а также определением белка и нитритов (Исследование уровня нитритов в моче), в т.ч., с применением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тест-полосок</w:t>
      </w:r>
      <w:proofErr w:type="spellEnd"/>
      <w:proofErr w:type="gramStart"/>
      <w:r w:rsidRPr="003927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Для подтверждения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лейкоцитурии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обязателен анализ мочи. 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Лейкоцитурией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считается обнаружение лейкоцитов более 10 в поле зрения или более 25 в 1 мкл мочи. Для правильной интерпретации результатов анализа необходим правильный забор мочи. Собирать мочу можно следующими способами: 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 забор средней части струи спонтанно выпущенной мочи у детей с установившимся спонтанным произвольным мочеиспусканием и у подростков; 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 использование мочеприемников у новорожденных и детей младшего возраста после предварительной гигиенической обработки гениталий и промежности;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 - катетеризация мочевого пузыря, ее проводят в основном у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маленьких детей при необходимости срочной диагностики; 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 надлобковая пункция, чаще применяется у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мальчиков младшего возраста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Посев мочи на флору с определением чувствительности к антибиотикам. Согласно определению Американского общества инфекционистов (IDSA), диагноз "острый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" подтверждается при получении более 10 000 колониеобразующих единиц (КОЕ)/мм3 в посеве мочи при наличии соответствующих клинических признаков заболевания. При заборе мочи надлобковой пункцией значимым является любой рост бактерий. </w:t>
      </w:r>
      <w:r w:rsidRPr="00392750">
        <w:rPr>
          <w:rFonts w:ascii="Times New Roman" w:hAnsi="Times New Roman" w:cs="Times New Roman"/>
          <w:sz w:val="28"/>
          <w:szCs w:val="28"/>
        </w:rPr>
        <w:lastRenderedPageBreak/>
        <w:t xml:space="preserve">Изолированную бактериурию у детей всех возрастов или положительный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нитритный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тест в отсутствии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лейкоцитурии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нельзя считать признаками инфекции мочевыводящих путей, так как перечисленные показатели не являются в этом возрасте достоверными признаками данной патологии. Результат посева мочи положителен у 90 % пациентов с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>. </w:t>
      </w:r>
    </w:p>
    <w:p w:rsidR="00737D8A" w:rsidRPr="00392750" w:rsidRDefault="00737D8A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При </w:t>
      </w:r>
      <w:r w:rsidR="00DF50AB" w:rsidRPr="00392750">
        <w:rPr>
          <w:rFonts w:ascii="Times New Roman" w:hAnsi="Times New Roman" w:cs="Times New Roman"/>
          <w:sz w:val="28"/>
          <w:szCs w:val="28"/>
        </w:rPr>
        <w:t xml:space="preserve">проведении общего и биохимического анализа крови: лейкоцитоз выше 15х109 /л, высокие уровни </w:t>
      </w:r>
      <w:proofErr w:type="spellStart"/>
      <w:proofErr w:type="gramStart"/>
      <w:r w:rsidR="00DF50AB" w:rsidRPr="00392750">
        <w:rPr>
          <w:rFonts w:ascii="Times New Roman" w:hAnsi="Times New Roman" w:cs="Times New Roman"/>
          <w:sz w:val="28"/>
          <w:szCs w:val="28"/>
        </w:rPr>
        <w:t>С-реактивного</w:t>
      </w:r>
      <w:proofErr w:type="spellEnd"/>
      <w:proofErr w:type="gram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 белка (СРБ) (≥30 мг/л) указывают на высокую вероятность бактериальной инфекции (не рекомендовано рутинно определять уровень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С-реактивного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 белка (СРБ) при подозрении на ИМВП (т.е. при лихорадке, лейкоцитозе и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лейкоцитурии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) в связи с недостаточной специфичностью). СРБ имеет меньшую специфичность по сравнению с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прокальцитонином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 выше 1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/мл может свидетельствовать в пользу острого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 при ИМВП и практически не встречается при инфекциях нижних отделов. Исследование уровня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 является дорогостоящим и целесообразно в составе комплексных диагностических мероприятий при подозрении на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уросепсис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 xml:space="preserve"> или при необходимости оценки ответа на антибактериальную терапию при тяжелом течении </w:t>
      </w:r>
      <w:proofErr w:type="spellStart"/>
      <w:r w:rsidR="00DF50AB" w:rsidRPr="00392750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="00DF50AB" w:rsidRPr="00392750">
        <w:rPr>
          <w:rFonts w:ascii="Times New Roman" w:hAnsi="Times New Roman" w:cs="Times New Roman"/>
          <w:sz w:val="28"/>
          <w:szCs w:val="28"/>
        </w:rPr>
        <w:t>.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У больных с преобладанием 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лейкоцитурии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 в сочетании с расстройствами акта мочеиспускания и болями в животе наиболее часто выявляется врожденная патология почек – гидронефроз, удвоение почек и мочеточников,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мегауретер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>. Поэтому в подобных случаях наиболее информативными являются экскреторная урография и 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микционная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цистография, которые сразу позволяют выявить указанные аномалии развития и направить ребенка на оперативное лечение в урологический стационар. При отсутствии патологии переходят к радиоизотопным методам исследования для выявления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уродинамических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нарушений, а затем к функциональным методам обследования нижних мочевых путей.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При ультразвуковом исследовании почек можно определить абсцесс почки, периренальный абсцесс. УЗ обследование используется также для оценки размеров почек, состояния чашечно-лоханочной системы, объема и состояния стенки мочевого пузыря. Его целесообразно проводить при наполненном мочевом пузыре, а также после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микции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>.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У детей после 1-го эпизода ИМВП цистография выявляет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пузырно-мочеточниковый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рефлюкс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(ПМР) 3-5-й ст. только в 17% случаев, 1-2-й ст. – у 22% детей, имеющих изменения при УЗИ. ПМР определяется у 25-30% детей с ИМВП. 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lastRenderedPageBreak/>
        <w:t xml:space="preserve">Цистографию не следует проводить рутинно в связи с тем, что исследование является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инвазивным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, а также несет лучевую нагрузку. Не проводится после первого эпизода ИМВП за исключением ситуаций, когда имеются показания. 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Цистография не проводится в активную стадию/при обострении. 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Цистография также может проводиться при рецидивирующем течении ИМВП. 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От проведения цистографии с целью выявления пузырно-мочеточникового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, в том числе низкой степени можно отказаться при возможности проведения динамической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радиофармпрепаратом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99мТс-Технемаг) с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микционной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пробой у детей, контролирующих процесс мочеиспускания.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2750">
        <w:rPr>
          <w:rFonts w:ascii="Times New Roman" w:hAnsi="Times New Roman" w:cs="Times New Roman"/>
          <w:sz w:val="28"/>
          <w:szCs w:val="28"/>
        </w:rPr>
        <w:t>Статическую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нефросцинтиграфию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рекомендуется проводить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радиофармпрепаратом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ДМСК (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димеркаптосукциновая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кислота-DMSA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) для выявления очагов нефросклероза детям до 3 лет с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атипичным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течением ИМВП не ранее чем через 4-6 месяцев после острого эпизода и при рецидивирующем течении ИМВП.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Статическая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нефросцинтиграфия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проводится при: 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Рецидивирующих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ИМВП на фоне пузырно-мочеточникового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(1 раз в 1-1,5 года); </w:t>
      </w:r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2750">
        <w:rPr>
          <w:rFonts w:ascii="Times New Roman" w:hAnsi="Times New Roman" w:cs="Times New Roman"/>
          <w:sz w:val="28"/>
          <w:szCs w:val="28"/>
        </w:rPr>
        <w:t>-Рецидивирующих ИМВП без структурных аномалий мочевой системы (1 раз в 1-1,5 года).</w:t>
      </w:r>
      <w:proofErr w:type="gramEnd"/>
    </w:p>
    <w:p w:rsidR="00DF50AB" w:rsidRPr="00392750" w:rsidRDefault="00DF50AB" w:rsidP="003927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МР-урография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имеет определенные преимущества и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статической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нефросцинтиграфией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– она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неинвазивна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(не нужно вводить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фармпрепарат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в вену), не несет лучевой нагрузки, не требует много времени (исследование, как правило, длится 20 мин), позволяет дифференцировать очаги острого воспаления от очагов фиброза (при статической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они могут быть интерпретированы как рубцовые очаги). Однако методика требует анестезиологического обеспечения у ряда пациентов, а также предполагает доступность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МР-томографии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и совместимого с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МР-томографом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анестезиологического оборудования.</w:t>
      </w:r>
    </w:p>
    <w:p w:rsidR="00DF50AB" w:rsidRDefault="00DF50AB" w:rsidP="00737D8A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DF50AB" w:rsidRPr="002F3AF5" w:rsidRDefault="00DF50AB" w:rsidP="00737D8A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</w:p>
    <w:p w:rsidR="00DF50AB" w:rsidRPr="00DF50AB" w:rsidRDefault="00DF50AB" w:rsidP="00DF50AB">
      <w:pPr>
        <w:pStyle w:val="2"/>
        <w:jc w:val="center"/>
      </w:pPr>
      <w:r w:rsidRPr="00DF50AB">
        <w:lastRenderedPageBreak/>
        <w:t xml:space="preserve">Дифференциальная диагностика </w:t>
      </w:r>
      <w:proofErr w:type="spellStart"/>
      <w:r w:rsidRPr="00DF50AB">
        <w:t>пиелонефрита</w:t>
      </w:r>
      <w:proofErr w:type="spellEnd"/>
      <w:r w:rsidR="00AB58C9">
        <w:t xml:space="preserve"> с циститом</w:t>
      </w:r>
    </w:p>
    <w:p w:rsidR="00AB58C9" w:rsidRDefault="00AB58C9" w:rsidP="00AB58C9">
      <w:pPr>
        <w:pStyle w:val="2"/>
        <w:jc w:val="center"/>
      </w:pPr>
      <w:r>
        <w:rPr>
          <w:noProof/>
        </w:rPr>
        <w:drawing>
          <wp:inline distT="0" distB="0" distL="0" distR="0">
            <wp:extent cx="5939790" cy="276733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AB58C9">
      <w:pPr>
        <w:pStyle w:val="2"/>
        <w:jc w:val="center"/>
      </w:pPr>
    </w:p>
    <w:p w:rsidR="00AB58C9" w:rsidRDefault="00AB58C9" w:rsidP="002F3AF5">
      <w:pPr>
        <w:pStyle w:val="2"/>
      </w:pPr>
    </w:p>
    <w:p w:rsidR="00AB58C9" w:rsidRDefault="00AB58C9" w:rsidP="00AB58C9">
      <w:pPr>
        <w:pStyle w:val="2"/>
        <w:jc w:val="center"/>
      </w:pPr>
      <w:r>
        <w:lastRenderedPageBreak/>
        <w:t>Тактика терапии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Вопрос о госпитализации решается в зависимости от тяжести состояния ребенка, риска развития осложнений и социальных условий семьи. В активной стадии заболевания при наличии лихорадки и болевого синдрома назначается постельный режим на 5–7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>.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Диетические ограничения преследуют цель уменьшить нагрузки на транспортные системы канальцев и скорректировать обменные нарушения. В активной стадии используется стол № 5 по Певзнеру без ограничения соли, но с повышенным питьевым режимом, на 50% больше возрастной нормы. Количество соли и жидкости ограничивается только при нарушении функции почек. Рекомендуется чередовать белковую и растительную пищу. Исключаются продукты, содержащие экстрактивные вещества и эфирные масла, жареные, острые, жирные блюда. Выявляемые обменные нарушения требуют специальных корригирующих диет.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Основой медикаментозного лечения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является антибактериальная терапия, проведение которой основывается на следующих принципах: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-до начала лечения необходимо проведение посева мочи (позже лечение меняют исходя из результатов посева);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-исключают и по возможности устраняют факторы, способствующие инфекции;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-улучшение состояния вовсе не означает исчезновение бактериурии;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-результаты лечения расценивают как неудачу в случае отсутствия улучшения и/или сохранения бактериурии;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-первичные инфекции нижних мочевых путей, как правило, поддаются коротким курсам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терапии; верхних мочевых путей — требуют длительной терапии;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-ранние рецидивы (до 2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>) представляют собой возвратную инфекцию и обусловлены либо выживанием возбудителя в верхних мочевых путях, либо продолжающимся обсеменением из кишечника. Поздние рецидивы — это почти всегда повторная инфекция;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-возбудители внебольничных инфекций мочевых путей обычно чувствительны к антибиотикам;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lastRenderedPageBreak/>
        <w:t>-частые рецидивы, инструментальные вмешательства на мочевых путях, недавняя госпитализация заставляют заподозрить инфекцию, вызванную устойчивыми возбудителями.</w:t>
      </w:r>
    </w:p>
    <w:p w:rsidR="00AB58C9" w:rsidRPr="00392750" w:rsidRDefault="00AB58C9" w:rsidP="00AB58C9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Стартовая антибактериальная терапия назначается эмпирически, исходя из наиболее вероятных возбудителей инфекции. При отсутствии клинического и лабораторного эффекта через 2–3 дня необходимо сменить антибиотик.</w:t>
      </w:r>
    </w:p>
    <w:p w:rsidR="00AB58C9" w:rsidRPr="00AB58C9" w:rsidRDefault="00AB58C9" w:rsidP="00AB58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манифестном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тяжелом и среднетяжелом течении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препараты вводят преимущественно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(внутривенно или внутримышечно) в условиях стационар</w:t>
      </w:r>
      <w:r w:rsidR="00AE46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475488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9" w:rsidRPr="00AB58C9" w:rsidRDefault="00AE46C8" w:rsidP="00AB58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25160" cy="5144770"/>
            <wp:effectExtent l="19050" t="0" r="889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9" w:rsidRPr="00AB58C9" w:rsidRDefault="00AB58C9" w:rsidP="00AB58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8C9" w:rsidRPr="00392750" w:rsidRDefault="00AE46C8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остром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пиелонефрите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рекомендована длительность антибактериальной терапии не менее 10 дней. Более длительные курсы не имеют преимуще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>ане развития рецидивов.</w:t>
      </w:r>
    </w:p>
    <w:p w:rsidR="0054130E" w:rsidRDefault="0054130E" w:rsidP="00AE46C8">
      <w:pPr>
        <w:pStyle w:val="2"/>
        <w:rPr>
          <w:b w:val="0"/>
          <w:bCs w:val="0"/>
          <w:color w:val="000000"/>
          <w:sz w:val="28"/>
          <w:szCs w:val="28"/>
        </w:rPr>
      </w:pPr>
    </w:p>
    <w:p w:rsidR="0054130E" w:rsidRDefault="0054130E" w:rsidP="00AE46C8">
      <w:pPr>
        <w:pStyle w:val="2"/>
        <w:rPr>
          <w:b w:val="0"/>
          <w:bCs w:val="0"/>
          <w:color w:val="000000"/>
          <w:sz w:val="28"/>
          <w:szCs w:val="28"/>
        </w:rPr>
      </w:pPr>
    </w:p>
    <w:p w:rsidR="0054130E" w:rsidRDefault="0054130E" w:rsidP="00AE46C8">
      <w:pPr>
        <w:pStyle w:val="2"/>
        <w:rPr>
          <w:b w:val="0"/>
          <w:bCs w:val="0"/>
          <w:color w:val="000000"/>
          <w:sz w:val="28"/>
          <w:szCs w:val="28"/>
        </w:rPr>
      </w:pPr>
    </w:p>
    <w:p w:rsidR="0054130E" w:rsidRDefault="0054130E" w:rsidP="00AE46C8">
      <w:pPr>
        <w:pStyle w:val="2"/>
        <w:rPr>
          <w:b w:val="0"/>
          <w:bCs w:val="0"/>
          <w:color w:val="000000"/>
          <w:sz w:val="28"/>
          <w:szCs w:val="28"/>
        </w:rPr>
      </w:pPr>
    </w:p>
    <w:p w:rsidR="0054130E" w:rsidRDefault="0054130E" w:rsidP="00AE46C8">
      <w:pPr>
        <w:pStyle w:val="2"/>
        <w:rPr>
          <w:b w:val="0"/>
          <w:bCs w:val="0"/>
          <w:color w:val="000000"/>
          <w:sz w:val="28"/>
          <w:szCs w:val="28"/>
        </w:rPr>
      </w:pPr>
    </w:p>
    <w:p w:rsidR="0054130E" w:rsidRDefault="0054130E" w:rsidP="00AE46C8">
      <w:pPr>
        <w:pStyle w:val="2"/>
        <w:rPr>
          <w:b w:val="0"/>
          <w:bCs w:val="0"/>
          <w:color w:val="000000"/>
          <w:sz w:val="28"/>
          <w:szCs w:val="28"/>
        </w:rPr>
      </w:pPr>
    </w:p>
    <w:p w:rsidR="0054130E" w:rsidRDefault="0054130E" w:rsidP="00AE46C8">
      <w:pPr>
        <w:pStyle w:val="2"/>
        <w:rPr>
          <w:b w:val="0"/>
          <w:bCs w:val="0"/>
          <w:color w:val="000000"/>
          <w:sz w:val="28"/>
          <w:szCs w:val="28"/>
        </w:rPr>
      </w:pPr>
    </w:p>
    <w:p w:rsidR="0054130E" w:rsidRPr="0054130E" w:rsidRDefault="0054130E" w:rsidP="0054130E">
      <w:pPr>
        <w:pStyle w:val="2"/>
        <w:jc w:val="center"/>
      </w:pPr>
      <w:r w:rsidRPr="0054130E">
        <w:lastRenderedPageBreak/>
        <w:t>Профилактика и диспансеризация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Первичная профилактика: 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-Регулярное опорожнение мочевого пузыря и кишечника 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-Достаточное потребление жидкости </w:t>
      </w:r>
    </w:p>
    <w:p w:rsidR="00AE46C8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-Гигиена наружных половых органов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Профилактическое назначение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антибиотикотерапии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(3-6мес.) возможно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-Наличии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пузырно-мочеточникового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2-5 ст.; 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-Рецидивах ИМВП (более 2 рецидивов в течение 6 </w:t>
      </w:r>
      <w:proofErr w:type="spellStart"/>
      <w:proofErr w:type="gramStart"/>
      <w:r w:rsidRPr="0039275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-Тяжелых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аномалиях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развития МВП до хирургической коррекции; </w:t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-Дисфункции мочевого пузыря и кишечника.</w:t>
      </w:r>
    </w:p>
    <w:p w:rsidR="00AE46C8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8145" cy="826770"/>
            <wp:effectExtent l="19050" t="0" r="825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0E" w:rsidRPr="00392750" w:rsidRDefault="0054130E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Диспансерное наблюдение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 при динамическом наблюдении рекомендуется исследование общего (клинического) анализа мочи с частотой 1 раз в месяц – 3 месяца, затем 1 раз в 3 месяца – год (планово) и внепланово при каждом эпизоде лихорадки и/или развитии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явлений и других симптомах поражения мочевых путей.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-посев мочи проводится при появлении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лейкоцитурии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более 10 в </w:t>
      </w:r>
      <w:proofErr w:type="spellStart"/>
      <w:proofErr w:type="gramStart"/>
      <w:r w:rsidRPr="003927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27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и/или при немотивированных подъемах температуры без катаральных явлений.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-клинический (общий) анализ крови развернутый проводится при клинической необходимости во время динамического наблюдения.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-уточнение почечных функций – концентрационной и фильтрационной – при рецидивирующем течении ИМВП (проба мочи по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, определение уровня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крови и расчет СКФ с определением стадии ХБП) – 1 раз в год.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-ультразвуковое исследование почек и мочевого пузыря –1 раз в год.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lastRenderedPageBreak/>
        <w:t xml:space="preserve">Повторные инструментальные обследования проводят со следующей частотой: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 цистография- 1 раз в 1-2 года при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рецидивирующем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пиелонефрите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с частыми обострениями и установленным ПМР;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статическая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нефросцинтиграфия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при рецидивирующих ИМВП на фоне ПМР – 1 раз в 1-1,5 года, при рецидивирующей ИМВП без структурных аномалий мочевой системы – 1 раз в 1-1,5 года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-контроль степени выраженности нарушения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в динамике (обструкция, ПМР) при наличии таковой и своевременное направление на хирургическую коррекцию при необходимости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-контроль уровня артериального давления при аномалиях развития МВП и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рецидивирующем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пиелонефрите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-контроль протеинурии как фактора почечного повреждения при </w:t>
      </w:r>
      <w:proofErr w:type="gramStart"/>
      <w:r w:rsidRPr="00392750">
        <w:rPr>
          <w:rFonts w:ascii="Times New Roman" w:hAnsi="Times New Roman" w:cs="Times New Roman"/>
          <w:sz w:val="28"/>
          <w:szCs w:val="28"/>
        </w:rPr>
        <w:t>рецидивирующем</w:t>
      </w:r>
      <w:proofErr w:type="gram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750">
        <w:rPr>
          <w:rFonts w:ascii="Times New Roman" w:hAnsi="Times New Roman" w:cs="Times New Roman"/>
          <w:sz w:val="28"/>
          <w:szCs w:val="28"/>
        </w:rPr>
        <w:t>пиелонефрите</w:t>
      </w:r>
      <w:proofErr w:type="spellEnd"/>
      <w:r w:rsidRPr="00392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 xml:space="preserve">-контроль эффективности проводимых лечебно-профилактических мероприятий и их коррекция при необходимости. </w:t>
      </w:r>
    </w:p>
    <w:p w:rsidR="00AF5DE0" w:rsidRPr="00392750" w:rsidRDefault="00AF5DE0" w:rsidP="00392750">
      <w:pPr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-вакцинация в рамках Национального календаря прививок в период ремиссии ИМВП</w:t>
      </w:r>
    </w:p>
    <w:p w:rsidR="00AE46C8" w:rsidRPr="00AF5DE0" w:rsidRDefault="00AE46C8" w:rsidP="00AF5DE0">
      <w:pPr>
        <w:pStyle w:val="2"/>
        <w:rPr>
          <w:b w:val="0"/>
          <w:bCs w:val="0"/>
          <w:color w:val="000000"/>
          <w:sz w:val="28"/>
          <w:szCs w:val="28"/>
        </w:rPr>
      </w:pPr>
    </w:p>
    <w:p w:rsidR="00AE46C8" w:rsidRPr="00AF5DE0" w:rsidRDefault="00AE46C8" w:rsidP="00AF5DE0">
      <w:pPr>
        <w:pStyle w:val="2"/>
        <w:rPr>
          <w:b w:val="0"/>
          <w:bCs w:val="0"/>
          <w:color w:val="000000"/>
          <w:sz w:val="28"/>
          <w:szCs w:val="28"/>
        </w:rPr>
      </w:pPr>
    </w:p>
    <w:p w:rsidR="00AE46C8" w:rsidRDefault="00AE46C8" w:rsidP="00AB58C9">
      <w:pPr>
        <w:pStyle w:val="2"/>
        <w:jc w:val="center"/>
      </w:pPr>
    </w:p>
    <w:p w:rsidR="00AE46C8" w:rsidRDefault="00AE46C8" w:rsidP="00AB58C9">
      <w:pPr>
        <w:pStyle w:val="2"/>
        <w:jc w:val="center"/>
      </w:pPr>
    </w:p>
    <w:p w:rsidR="00AE46C8" w:rsidRDefault="00AE46C8" w:rsidP="00AB58C9">
      <w:pPr>
        <w:pStyle w:val="2"/>
        <w:jc w:val="center"/>
      </w:pPr>
    </w:p>
    <w:p w:rsidR="00AF5DE0" w:rsidRDefault="00AF5DE0" w:rsidP="00AF5DE0">
      <w:pPr>
        <w:pStyle w:val="2"/>
        <w:jc w:val="center"/>
      </w:pPr>
    </w:p>
    <w:p w:rsidR="00AF5DE0" w:rsidRDefault="00AF5DE0" w:rsidP="00AF5DE0">
      <w:pPr>
        <w:pStyle w:val="2"/>
        <w:jc w:val="center"/>
      </w:pPr>
    </w:p>
    <w:p w:rsidR="00AF5DE0" w:rsidRDefault="00AF5DE0" w:rsidP="00AF5DE0">
      <w:pPr>
        <w:pStyle w:val="2"/>
        <w:jc w:val="center"/>
      </w:pPr>
    </w:p>
    <w:p w:rsidR="00AF5DE0" w:rsidRPr="00392750" w:rsidRDefault="00AF5DE0" w:rsidP="008B4A7D">
      <w:pPr>
        <w:pStyle w:val="2"/>
        <w:rPr>
          <w:shd w:val="clear" w:color="auto" w:fill="F3F5F8"/>
          <w:lang w:val="en-US"/>
        </w:rPr>
      </w:pPr>
      <w:bookmarkStart w:id="2" w:name="_Toc141309874"/>
      <w:bookmarkEnd w:id="1"/>
    </w:p>
    <w:p w:rsidR="00A57265" w:rsidRDefault="00A57265" w:rsidP="00A57265">
      <w:pPr>
        <w:pStyle w:val="2"/>
        <w:jc w:val="center"/>
        <w:rPr>
          <w:shd w:val="clear" w:color="auto" w:fill="F3F5F8"/>
        </w:rPr>
      </w:pPr>
      <w:r>
        <w:rPr>
          <w:shd w:val="clear" w:color="auto" w:fill="F3F5F8"/>
        </w:rPr>
        <w:lastRenderedPageBreak/>
        <w:t>Список литературы</w:t>
      </w:r>
      <w:bookmarkEnd w:id="2"/>
    </w:p>
    <w:p w:rsidR="005547E6" w:rsidRPr="00E82BC5" w:rsidRDefault="00E82BC5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Ребрик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С., </w:t>
      </w: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Тракс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Острый </w:t>
      </w: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раннего возраста // Международный журнал прикладных и фундаментальных исследований. 2019. </w:t>
      </w: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С. 76–80.</w:t>
      </w:r>
    </w:p>
    <w:p w:rsidR="00E82BC5" w:rsidRDefault="00E82BC5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Сагитова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Р., Антонова А. А., Середа В. М., </w:t>
      </w: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Гернер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Г. Клинические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«маски» </w:t>
      </w: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(случаи из практики) // Астраханский медицинский журнал. 2023. Т. 18,</w:t>
      </w:r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E8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С. 116–120.</w:t>
      </w:r>
    </w:p>
    <w:p w:rsidR="00E82BC5" w:rsidRPr="00FA10EC" w:rsidRDefault="00E82BC5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Шикунова Я.В., Гудков А.В., </w:t>
      </w:r>
      <w:proofErr w:type="spellStart"/>
      <w:r w:rsidRPr="00E82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Бощенко</w:t>
      </w:r>
      <w:proofErr w:type="spellEnd"/>
      <w:r w:rsidRPr="00E82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В.С., Селиванов С.П., Исаева С.Н. Этиология и патогенез острых </w:t>
      </w:r>
      <w:proofErr w:type="spellStart"/>
      <w:r w:rsidRPr="00E82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пиелонефритов</w:t>
      </w:r>
      <w:proofErr w:type="spellEnd"/>
      <w:r w:rsidRPr="00E82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детей. Экспериментальная и клиническая урология 2021;14(1):135-139</w:t>
      </w:r>
    </w:p>
    <w:p w:rsidR="00FA10EC" w:rsidRPr="00FA10EC" w:rsidRDefault="00FA10EC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Tullus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K, </w:t>
      </w: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Shaikh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N. </w:t>
      </w: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Urinary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tract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infections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in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children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Lancet</w:t>
      </w:r>
      <w:proofErr w:type="spellEnd"/>
      <w:r w:rsidRPr="00FA10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2020;395</w:t>
      </w:r>
    </w:p>
    <w:p w:rsidR="00392750" w:rsidRPr="00392750" w:rsidRDefault="00FA10EC" w:rsidP="0039275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1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Клинические рекомендации – Инфекция мочевыводящих путей у детей – 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92750" w:rsidRPr="00392750" w:rsidRDefault="00FA10EC" w:rsidP="0039275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Mariya</w:t>
      </w:r>
      <w:proofErr w:type="spellEnd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Belyayeva</w:t>
      </w:r>
      <w:proofErr w:type="spellEnd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 Jordan M. </w:t>
      </w:r>
      <w:proofErr w:type="spellStart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Jeong</w:t>
      </w:r>
      <w:proofErr w:type="spellEnd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Acute</w:t>
      </w:r>
      <w:proofErr w:type="spellEnd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Pyelonephritis</w:t>
      </w:r>
      <w:proofErr w:type="spellEnd"/>
      <w:r w:rsidR="00392750"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 </w:t>
      </w:r>
      <w:proofErr w:type="spellStart"/>
      <w:r w:rsid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Sep</w:t>
      </w:r>
      <w:proofErr w:type="spellEnd"/>
      <w:r w:rsid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="00392750"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18, 2022.</w:t>
      </w:r>
    </w:p>
    <w:p w:rsidR="00392750" w:rsidRPr="00392750" w:rsidRDefault="00392750" w:rsidP="0039275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Nai-Wen Fang, Yee-Hsuan Chiou, Yao-Shen Chen, Chi-Wen Hung, Chun-Hao Yin, Jin-Shuen Chen. </w:t>
      </w:r>
      <w:proofErr w:type="spellStart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Nomogram</w:t>
      </w:r>
      <w:proofErr w:type="spellEnd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for diagnosing acute </w:t>
      </w:r>
      <w:proofErr w:type="spellStart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pyelonephritis</w:t>
      </w:r>
      <w:proofErr w:type="spellEnd"/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 </w:t>
      </w:r>
      <w:r w:rsidRPr="00392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pediatric urinary tract infection/ July 2022</w:t>
      </w:r>
    </w:p>
    <w:p w:rsidR="00392750" w:rsidRPr="00392750" w:rsidRDefault="00392750" w:rsidP="0039275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FA10EC" w:rsidRPr="00FA10EC" w:rsidRDefault="00FA10EC" w:rsidP="00392750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sectPr w:rsidR="00FA10EC" w:rsidRPr="00FA10EC" w:rsidSect="002F3AF5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E3" w:rsidRDefault="004354E3" w:rsidP="002F3AF5">
      <w:pPr>
        <w:spacing w:after="0" w:line="240" w:lineRule="auto"/>
      </w:pPr>
      <w:r>
        <w:separator/>
      </w:r>
    </w:p>
  </w:endnote>
  <w:endnote w:type="continuationSeparator" w:id="0">
    <w:p w:rsidR="004354E3" w:rsidRDefault="004354E3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03762"/>
      <w:docPartObj>
        <w:docPartGallery w:val="Page Numbers (Bottom of Page)"/>
        <w:docPartUnique/>
      </w:docPartObj>
    </w:sdtPr>
    <w:sdtContent>
      <w:p w:rsidR="002F3AF5" w:rsidRDefault="002F3AF5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3AF5" w:rsidRDefault="002F3A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E3" w:rsidRDefault="004354E3" w:rsidP="002F3AF5">
      <w:pPr>
        <w:spacing w:after="0" w:line="240" w:lineRule="auto"/>
      </w:pPr>
      <w:r>
        <w:separator/>
      </w:r>
    </w:p>
  </w:footnote>
  <w:footnote w:type="continuationSeparator" w:id="0">
    <w:p w:rsidR="004354E3" w:rsidRDefault="004354E3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FA9"/>
    <w:multiLevelType w:val="hybridMultilevel"/>
    <w:tmpl w:val="0B10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F6D"/>
    <w:multiLevelType w:val="multilevel"/>
    <w:tmpl w:val="0C02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42B2F"/>
    <w:multiLevelType w:val="multilevel"/>
    <w:tmpl w:val="C14C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303E3"/>
    <w:multiLevelType w:val="multilevel"/>
    <w:tmpl w:val="8F1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75EB9"/>
    <w:multiLevelType w:val="multilevel"/>
    <w:tmpl w:val="79D0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824"/>
    <w:rsid w:val="00121E11"/>
    <w:rsid w:val="00153EE3"/>
    <w:rsid w:val="00157D58"/>
    <w:rsid w:val="00171157"/>
    <w:rsid w:val="001E7811"/>
    <w:rsid w:val="002A3724"/>
    <w:rsid w:val="002F3AF5"/>
    <w:rsid w:val="002F6EFD"/>
    <w:rsid w:val="003901EF"/>
    <w:rsid w:val="00392750"/>
    <w:rsid w:val="004354E3"/>
    <w:rsid w:val="00450E5E"/>
    <w:rsid w:val="004653E1"/>
    <w:rsid w:val="0054130E"/>
    <w:rsid w:val="005547E6"/>
    <w:rsid w:val="006544F8"/>
    <w:rsid w:val="00737D8A"/>
    <w:rsid w:val="008B4A7D"/>
    <w:rsid w:val="009C261B"/>
    <w:rsid w:val="00A57265"/>
    <w:rsid w:val="00AB58C9"/>
    <w:rsid w:val="00AE46C8"/>
    <w:rsid w:val="00AF5DE0"/>
    <w:rsid w:val="00B6172C"/>
    <w:rsid w:val="00B64824"/>
    <w:rsid w:val="00BC7840"/>
    <w:rsid w:val="00D40A66"/>
    <w:rsid w:val="00DF50AB"/>
    <w:rsid w:val="00E82BC5"/>
    <w:rsid w:val="00EB38F8"/>
    <w:rsid w:val="00F25612"/>
    <w:rsid w:val="00F66C69"/>
    <w:rsid w:val="00FA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24"/>
  </w:style>
  <w:style w:type="paragraph" w:styleId="1">
    <w:name w:val="heading 1"/>
    <w:basedOn w:val="a"/>
    <w:next w:val="a"/>
    <w:link w:val="10"/>
    <w:uiPriority w:val="9"/>
    <w:qFormat/>
    <w:rsid w:val="00554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">
    <w:name w:val="body"/>
    <w:basedOn w:val="a"/>
    <w:rsid w:val="002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A372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57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157D58"/>
    <w:rPr>
      <w:b/>
      <w:bCs/>
    </w:rPr>
  </w:style>
  <w:style w:type="paragraph" w:styleId="a5">
    <w:name w:val="Normal (Web)"/>
    <w:basedOn w:val="a"/>
    <w:uiPriority w:val="99"/>
    <w:unhideWhenUsed/>
    <w:rsid w:val="0065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44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6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5547E6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547E6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55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7E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82BC5"/>
  </w:style>
  <w:style w:type="character" w:customStyle="1" w:styleId="title">
    <w:name w:val="title"/>
    <w:basedOn w:val="a0"/>
    <w:rsid w:val="00FA10EC"/>
  </w:style>
  <w:style w:type="character" w:customStyle="1" w:styleId="button-link-text">
    <w:name w:val="button-link-text"/>
    <w:basedOn w:val="a0"/>
    <w:rsid w:val="00392750"/>
  </w:style>
  <w:style w:type="character" w:customStyle="1" w:styleId="react-xocs-alternative-link">
    <w:name w:val="react-xocs-alternative-link"/>
    <w:basedOn w:val="a0"/>
    <w:rsid w:val="00392750"/>
  </w:style>
  <w:style w:type="character" w:customStyle="1" w:styleId="given-name">
    <w:name w:val="given-name"/>
    <w:basedOn w:val="a0"/>
    <w:rsid w:val="00392750"/>
  </w:style>
  <w:style w:type="character" w:customStyle="1" w:styleId="text">
    <w:name w:val="text"/>
    <w:basedOn w:val="a0"/>
    <w:rsid w:val="00392750"/>
  </w:style>
  <w:style w:type="character" w:customStyle="1" w:styleId="author-ref">
    <w:name w:val="author-ref"/>
    <w:basedOn w:val="a0"/>
    <w:rsid w:val="00392750"/>
  </w:style>
  <w:style w:type="character" w:customStyle="1" w:styleId="title-text">
    <w:name w:val="title-text"/>
    <w:basedOn w:val="a0"/>
    <w:rsid w:val="00392750"/>
  </w:style>
  <w:style w:type="paragraph" w:styleId="ab">
    <w:name w:val="header"/>
    <w:basedOn w:val="a"/>
    <w:link w:val="ac"/>
    <w:uiPriority w:val="99"/>
    <w:semiHidden/>
    <w:unhideWhenUsed/>
    <w:rsid w:val="002F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3AF5"/>
  </w:style>
  <w:style w:type="paragraph" w:styleId="ad">
    <w:name w:val="footer"/>
    <w:basedOn w:val="a"/>
    <w:link w:val="ae"/>
    <w:uiPriority w:val="99"/>
    <w:unhideWhenUsed/>
    <w:rsid w:val="002F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497B-B0E5-46E3-A7E5-F9B4A86D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20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2023-07-26T15:42:00Z</dcterms:created>
  <dcterms:modified xsi:type="dcterms:W3CDTF">2023-11-07T13:30:00Z</dcterms:modified>
</cp:coreProperties>
</file>