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B1BD" w14:textId="21C0A744"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w:t>
      </w:r>
      <w:proofErr w:type="spellStart"/>
      <w:r w:rsidRPr="00FF4D12">
        <w:rPr>
          <w:rFonts w:ascii="Times New Roman" w:eastAsia="Calibri" w:hAnsi="Times New Roman" w:cs="Times New Roman"/>
          <w:sz w:val="28"/>
          <w:szCs w:val="28"/>
        </w:rPr>
        <w:t>Войно-Ясенецкого</w:t>
      </w:r>
      <w:proofErr w:type="spellEnd"/>
      <w:r w:rsidRPr="00FF4D12">
        <w:rPr>
          <w:rFonts w:ascii="Times New Roman" w:eastAsia="Calibri" w:hAnsi="Times New Roman" w:cs="Times New Roman"/>
          <w:sz w:val="28"/>
          <w:szCs w:val="28"/>
        </w:rPr>
        <w:t xml:space="preserve">» Министерства здравоохранения Российской Федерации </w:t>
      </w:r>
    </w:p>
    <w:p w14:paraId="46C2378F" w14:textId="446DCF09" w:rsidR="00905418" w:rsidRPr="00FF4D12" w:rsidRDefault="00905418" w:rsidP="742D42C8">
      <w:pPr>
        <w:rPr>
          <w:rFonts w:ascii="Times New Roman" w:eastAsia="Calibri" w:hAnsi="Times New Roman" w:cs="Times New Roman"/>
          <w:sz w:val="28"/>
          <w:szCs w:val="28"/>
        </w:rPr>
      </w:pPr>
    </w:p>
    <w:p w14:paraId="55A0EF79" w14:textId="6410D400" w:rsidR="00905418" w:rsidRPr="00FF4D12" w:rsidRDefault="00905418" w:rsidP="742D42C8">
      <w:pPr>
        <w:rPr>
          <w:rFonts w:ascii="Times New Roman" w:eastAsia="Calibri" w:hAnsi="Times New Roman" w:cs="Times New Roman"/>
          <w:sz w:val="28"/>
          <w:szCs w:val="28"/>
        </w:rPr>
      </w:pPr>
    </w:p>
    <w:p w14:paraId="3B0E7EE1" w14:textId="53CB436C" w:rsidR="00905418" w:rsidRPr="00FF4D12" w:rsidRDefault="00905418" w:rsidP="742D42C8">
      <w:pPr>
        <w:rPr>
          <w:rFonts w:ascii="Times New Roman" w:eastAsia="Calibri" w:hAnsi="Times New Roman" w:cs="Times New Roman"/>
          <w:sz w:val="28"/>
          <w:szCs w:val="28"/>
        </w:rPr>
      </w:pPr>
    </w:p>
    <w:p w14:paraId="30874E65" w14:textId="43F6659B" w:rsidR="00905418" w:rsidRPr="00FF4D12" w:rsidRDefault="00905418" w:rsidP="742D42C8">
      <w:pPr>
        <w:rPr>
          <w:rFonts w:ascii="Times New Roman" w:eastAsia="Calibri" w:hAnsi="Times New Roman" w:cs="Times New Roman"/>
          <w:sz w:val="28"/>
          <w:szCs w:val="28"/>
        </w:rPr>
      </w:pPr>
    </w:p>
    <w:p w14:paraId="1D7C0608" w14:textId="146B1AD1"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Кафедра анестезиологии и реаниматологии ИПО </w:t>
      </w:r>
    </w:p>
    <w:p w14:paraId="12268563" w14:textId="2824FB9A"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РЕФЕРАТ </w:t>
      </w:r>
    </w:p>
    <w:p w14:paraId="75D0B51C" w14:textId="07AF0EE7"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По дисциплине: «Анестезиология и реаниматология» </w:t>
      </w:r>
    </w:p>
    <w:p w14:paraId="7CCCC86E" w14:textId="72E71830" w:rsidR="00905418" w:rsidRPr="00FF4D12" w:rsidRDefault="63AFF685"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Тема: «</w:t>
      </w:r>
      <w:r w:rsidR="00FF4D12" w:rsidRPr="00FF4D12">
        <w:rPr>
          <w:rFonts w:ascii="Times New Roman" w:eastAsia="Calibri" w:hAnsi="Times New Roman" w:cs="Times New Roman"/>
          <w:sz w:val="28"/>
          <w:szCs w:val="28"/>
        </w:rPr>
        <w:t>Катетеризация сосудов по УЗ-конт</w:t>
      </w:r>
      <w:r w:rsidR="007C751A">
        <w:rPr>
          <w:rFonts w:ascii="Times New Roman" w:eastAsia="Calibri" w:hAnsi="Times New Roman" w:cs="Times New Roman"/>
          <w:sz w:val="28"/>
          <w:szCs w:val="28"/>
        </w:rPr>
        <w:t>р</w:t>
      </w:r>
      <w:r w:rsidR="00FF4D12" w:rsidRPr="00FF4D12">
        <w:rPr>
          <w:rFonts w:ascii="Times New Roman" w:eastAsia="Calibri" w:hAnsi="Times New Roman" w:cs="Times New Roman"/>
          <w:sz w:val="28"/>
          <w:szCs w:val="28"/>
        </w:rPr>
        <w:t>олем</w:t>
      </w:r>
      <w:r w:rsidRPr="00FF4D12">
        <w:rPr>
          <w:rFonts w:ascii="Times New Roman" w:eastAsia="Calibri" w:hAnsi="Times New Roman" w:cs="Times New Roman"/>
          <w:sz w:val="28"/>
          <w:szCs w:val="28"/>
        </w:rPr>
        <w:t xml:space="preserve">» </w:t>
      </w:r>
    </w:p>
    <w:p w14:paraId="1ACF4614" w14:textId="2EDC5DDE" w:rsidR="00905418" w:rsidRPr="00FF4D12" w:rsidRDefault="00905418" w:rsidP="742D42C8">
      <w:pPr>
        <w:rPr>
          <w:rFonts w:ascii="Times New Roman" w:eastAsia="Calibri" w:hAnsi="Times New Roman" w:cs="Times New Roman"/>
          <w:sz w:val="28"/>
          <w:szCs w:val="28"/>
        </w:rPr>
      </w:pPr>
    </w:p>
    <w:p w14:paraId="16E18D1A" w14:textId="1ECDB502" w:rsidR="00905418" w:rsidRPr="00FF4D12" w:rsidRDefault="00905418" w:rsidP="742D42C8">
      <w:pPr>
        <w:rPr>
          <w:rFonts w:ascii="Times New Roman" w:eastAsia="Calibri" w:hAnsi="Times New Roman" w:cs="Times New Roman"/>
          <w:sz w:val="28"/>
          <w:szCs w:val="28"/>
        </w:rPr>
      </w:pPr>
    </w:p>
    <w:p w14:paraId="37CE03A8" w14:textId="1E5E4D8E" w:rsidR="00905418" w:rsidRPr="00FF4D12" w:rsidRDefault="00905418" w:rsidP="742D42C8">
      <w:pPr>
        <w:rPr>
          <w:rFonts w:ascii="Times New Roman" w:eastAsia="Calibri" w:hAnsi="Times New Roman" w:cs="Times New Roman"/>
          <w:sz w:val="28"/>
          <w:szCs w:val="28"/>
        </w:rPr>
      </w:pPr>
    </w:p>
    <w:p w14:paraId="592F3F4E" w14:textId="7850E395" w:rsidR="00905418" w:rsidRPr="00FF4D12" w:rsidRDefault="00905418" w:rsidP="742D42C8">
      <w:pPr>
        <w:rPr>
          <w:rFonts w:ascii="Times New Roman" w:eastAsia="Calibri" w:hAnsi="Times New Roman" w:cs="Times New Roman"/>
          <w:sz w:val="28"/>
          <w:szCs w:val="28"/>
        </w:rPr>
      </w:pPr>
    </w:p>
    <w:p w14:paraId="02EF61CA" w14:textId="470A5D0C" w:rsidR="00905418" w:rsidRPr="00FF4D12" w:rsidRDefault="00905418" w:rsidP="742D42C8">
      <w:pPr>
        <w:rPr>
          <w:rFonts w:ascii="Times New Roman" w:eastAsia="Calibri" w:hAnsi="Times New Roman" w:cs="Times New Roman"/>
          <w:sz w:val="28"/>
          <w:szCs w:val="28"/>
        </w:rPr>
      </w:pPr>
    </w:p>
    <w:p w14:paraId="43D27FE0" w14:textId="73A50597"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Выполнил: ординатор 1 года </w:t>
      </w:r>
      <w:proofErr w:type="spellStart"/>
      <w:r w:rsidR="000851CB">
        <w:rPr>
          <w:rFonts w:ascii="Times New Roman" w:eastAsia="Calibri" w:hAnsi="Times New Roman" w:cs="Times New Roman"/>
          <w:sz w:val="28"/>
          <w:szCs w:val="28"/>
        </w:rPr>
        <w:t>Чувакос</w:t>
      </w:r>
      <w:proofErr w:type="spellEnd"/>
      <w:r w:rsidR="000851CB">
        <w:rPr>
          <w:rFonts w:ascii="Times New Roman" w:eastAsia="Calibri" w:hAnsi="Times New Roman" w:cs="Times New Roman"/>
          <w:sz w:val="28"/>
          <w:szCs w:val="28"/>
        </w:rPr>
        <w:t xml:space="preserve"> С.В.</w:t>
      </w:r>
      <w:r w:rsidR="00FF4D12" w:rsidRPr="00FF4D12">
        <w:rPr>
          <w:rFonts w:ascii="Times New Roman" w:eastAsia="Calibri" w:hAnsi="Times New Roman" w:cs="Times New Roman"/>
          <w:sz w:val="28"/>
          <w:szCs w:val="28"/>
        </w:rPr>
        <w:t>.</w:t>
      </w:r>
    </w:p>
    <w:p w14:paraId="4049A8A8" w14:textId="4CB65F20"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Заведующий кафедрой: д.м.н., профессор Грицан А.И. </w:t>
      </w:r>
    </w:p>
    <w:p w14:paraId="0DA6490F" w14:textId="1FDFF525"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Кафедральный руководитель: </w:t>
      </w:r>
      <w:r w:rsidR="00FF4D12" w:rsidRPr="00FF4D12">
        <w:rPr>
          <w:rFonts w:ascii="Times New Roman" w:eastAsia="Calibri" w:hAnsi="Times New Roman" w:cs="Times New Roman"/>
          <w:sz w:val="28"/>
          <w:szCs w:val="28"/>
        </w:rPr>
        <w:t>ассистент Смирнова В.А.</w:t>
      </w:r>
    </w:p>
    <w:p w14:paraId="6D315B89" w14:textId="3E9559A4" w:rsidR="00905418" w:rsidRPr="00FF4D12" w:rsidRDefault="00905418" w:rsidP="742D42C8">
      <w:pPr>
        <w:rPr>
          <w:rFonts w:ascii="Times New Roman" w:eastAsia="Calibri" w:hAnsi="Times New Roman" w:cs="Times New Roman"/>
          <w:sz w:val="28"/>
          <w:szCs w:val="28"/>
        </w:rPr>
      </w:pPr>
    </w:p>
    <w:p w14:paraId="14B93648" w14:textId="7DDDCE50" w:rsidR="00905418" w:rsidRPr="00FF4D12" w:rsidRDefault="00905418" w:rsidP="742D42C8">
      <w:pPr>
        <w:rPr>
          <w:rFonts w:ascii="Times New Roman" w:eastAsia="Calibri" w:hAnsi="Times New Roman" w:cs="Times New Roman"/>
          <w:sz w:val="28"/>
          <w:szCs w:val="28"/>
        </w:rPr>
      </w:pPr>
    </w:p>
    <w:p w14:paraId="08BDDD75" w14:textId="75D0B19A" w:rsidR="00905418" w:rsidRPr="00FF4D12" w:rsidRDefault="00905418" w:rsidP="742D42C8">
      <w:pPr>
        <w:rPr>
          <w:rFonts w:ascii="Times New Roman" w:eastAsia="Calibri" w:hAnsi="Times New Roman" w:cs="Times New Roman"/>
          <w:sz w:val="28"/>
          <w:szCs w:val="28"/>
        </w:rPr>
      </w:pPr>
    </w:p>
    <w:p w14:paraId="2EEF6C4C" w14:textId="4C0512F9" w:rsidR="00905418" w:rsidRPr="00FF4D12" w:rsidRDefault="00905418" w:rsidP="742D42C8">
      <w:pPr>
        <w:rPr>
          <w:rFonts w:ascii="Times New Roman" w:eastAsia="Calibri" w:hAnsi="Times New Roman" w:cs="Times New Roman"/>
          <w:sz w:val="28"/>
          <w:szCs w:val="28"/>
        </w:rPr>
      </w:pPr>
    </w:p>
    <w:p w14:paraId="1DC2F06F" w14:textId="65097A86" w:rsidR="00905418" w:rsidRPr="00FF4D12" w:rsidRDefault="00905418" w:rsidP="742D42C8">
      <w:pPr>
        <w:rPr>
          <w:rFonts w:ascii="Times New Roman" w:eastAsia="Calibri" w:hAnsi="Times New Roman" w:cs="Times New Roman"/>
          <w:sz w:val="28"/>
          <w:szCs w:val="28"/>
        </w:rPr>
      </w:pPr>
    </w:p>
    <w:p w14:paraId="0417089D" w14:textId="4B461BE9" w:rsidR="00905418" w:rsidRPr="00FF4D12" w:rsidRDefault="00905418" w:rsidP="742D42C8">
      <w:pPr>
        <w:jc w:val="center"/>
        <w:rPr>
          <w:rFonts w:ascii="Times New Roman" w:eastAsia="Calibri" w:hAnsi="Times New Roman" w:cs="Times New Roman"/>
          <w:sz w:val="28"/>
          <w:szCs w:val="28"/>
        </w:rPr>
      </w:pPr>
    </w:p>
    <w:p w14:paraId="501817AE" w14:textId="2CEC7A82" w:rsidR="00905418" w:rsidRPr="00FF4D12" w:rsidRDefault="63AFF685"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Красноярск, 2023 год</w:t>
      </w:r>
    </w:p>
    <w:p w14:paraId="605BD6C5" w14:textId="06539873" w:rsidR="742D42C8" w:rsidRPr="00FF4D12" w:rsidRDefault="742D42C8" w:rsidP="742D42C8">
      <w:pPr>
        <w:jc w:val="center"/>
        <w:rPr>
          <w:rFonts w:ascii="Times New Roman" w:eastAsia="Calibri" w:hAnsi="Times New Roman" w:cs="Times New Roman"/>
          <w:sz w:val="28"/>
          <w:szCs w:val="28"/>
        </w:rPr>
      </w:pPr>
    </w:p>
    <w:p w14:paraId="172F336F" w14:textId="251EA600" w:rsidR="742D42C8" w:rsidRPr="00FF4D12" w:rsidRDefault="742D42C8" w:rsidP="742D42C8">
      <w:pPr>
        <w:jc w:val="center"/>
        <w:rPr>
          <w:rFonts w:ascii="Times New Roman" w:eastAsia="Calibri" w:hAnsi="Times New Roman" w:cs="Times New Roman"/>
          <w:b/>
          <w:bCs/>
          <w:color w:val="000000" w:themeColor="text1"/>
          <w:sz w:val="28"/>
          <w:szCs w:val="28"/>
        </w:rPr>
      </w:pPr>
    </w:p>
    <w:p w14:paraId="28778642" w14:textId="77410852" w:rsidR="2588CCB3" w:rsidRPr="00FF4D12" w:rsidRDefault="2588CCB3" w:rsidP="2588CCB3">
      <w:pPr>
        <w:pStyle w:val="1"/>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t>План:</w:t>
      </w:r>
    </w:p>
    <w:p w14:paraId="0E180851" w14:textId="3AA5484A" w:rsidR="2588CCB3" w:rsidRPr="00FF4D12" w:rsidRDefault="2588CCB3" w:rsidP="2588CCB3">
      <w:pPr>
        <w:rPr>
          <w:rFonts w:ascii="Times New Roman" w:hAnsi="Times New Roman" w:cs="Times New Roman"/>
          <w:sz w:val="28"/>
          <w:szCs w:val="28"/>
        </w:rPr>
      </w:pPr>
    </w:p>
    <w:p w14:paraId="02F18DED" w14:textId="79F4AF04"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Введение.</w:t>
      </w:r>
      <w:r w:rsidRPr="00FF4D12">
        <w:rPr>
          <w:rFonts w:ascii="Times New Roman" w:hAnsi="Times New Roman" w:cs="Times New Roman"/>
          <w:sz w:val="28"/>
          <w:szCs w:val="28"/>
        </w:rPr>
        <w:tab/>
      </w:r>
    </w:p>
    <w:p w14:paraId="3EAE4B14" w14:textId="29A54F43"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Принципы визуализации тканей, определения местоположения иглы и катетера с помощью ультразвука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6C2DD8C2" w14:textId="4E2890F2"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Идентификация сосудов </w:t>
      </w:r>
      <w:r w:rsidRPr="00FF4D12">
        <w:rPr>
          <w:rFonts w:ascii="Times New Roman" w:hAnsi="Times New Roman" w:cs="Times New Roman"/>
          <w:sz w:val="28"/>
          <w:szCs w:val="28"/>
        </w:rPr>
        <w:tab/>
      </w:r>
    </w:p>
    <w:p w14:paraId="395C7453" w14:textId="2A82ACB6"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Методики катетеризации сосудов </w:t>
      </w:r>
      <w:r w:rsidRPr="00FF4D12">
        <w:rPr>
          <w:rFonts w:ascii="Times New Roman" w:hAnsi="Times New Roman" w:cs="Times New Roman"/>
          <w:sz w:val="28"/>
          <w:szCs w:val="28"/>
        </w:rPr>
        <w:tab/>
      </w:r>
    </w:p>
    <w:p w14:paraId="37A3D54E" w14:textId="7BF7E323"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вены по длинной оси </w:t>
      </w:r>
      <w:r w:rsidRPr="00FF4D12">
        <w:rPr>
          <w:rFonts w:ascii="Times New Roman" w:hAnsi="Times New Roman" w:cs="Times New Roman"/>
          <w:sz w:val="28"/>
          <w:szCs w:val="28"/>
        </w:rPr>
        <w:tab/>
      </w:r>
    </w:p>
    <w:p w14:paraId="6F71110D" w14:textId="338EB5A7"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вены по короткой оси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3ADAD9DE" w14:textId="6604FFD2"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внутренней яремной вены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5325D48E" w14:textId="2AC2361A"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подключичной вены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0FE47905" w14:textId="6A209F94"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бедренной вены </w:t>
      </w:r>
      <w:r w:rsidRPr="00FF4D12">
        <w:rPr>
          <w:rFonts w:ascii="Times New Roman" w:hAnsi="Times New Roman" w:cs="Times New Roman"/>
          <w:sz w:val="28"/>
          <w:szCs w:val="28"/>
        </w:rPr>
        <w:tab/>
      </w:r>
    </w:p>
    <w:p w14:paraId="00263749" w14:textId="10532635"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Обеспечение стерильности при выполнении катетеризации сосудов под ультразвуковым контролем.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52B3C9E6" w14:textId="77777777" w:rsid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Список литературы.</w:t>
      </w:r>
    </w:p>
    <w:p w14:paraId="1516BA28" w14:textId="77777777" w:rsidR="00FF4D12" w:rsidRDefault="00FF4D12" w:rsidP="00FF4D12">
      <w:pPr>
        <w:spacing w:line="271" w:lineRule="auto"/>
        <w:rPr>
          <w:rFonts w:ascii="Times New Roman" w:hAnsi="Times New Roman" w:cs="Times New Roman"/>
          <w:sz w:val="28"/>
          <w:szCs w:val="28"/>
        </w:rPr>
      </w:pPr>
    </w:p>
    <w:p w14:paraId="544E084F" w14:textId="77777777" w:rsidR="00FF4D12" w:rsidRDefault="00FF4D12" w:rsidP="00FF4D12">
      <w:pPr>
        <w:spacing w:line="271" w:lineRule="auto"/>
        <w:rPr>
          <w:rFonts w:ascii="Times New Roman" w:hAnsi="Times New Roman" w:cs="Times New Roman"/>
          <w:sz w:val="28"/>
          <w:szCs w:val="28"/>
        </w:rPr>
      </w:pPr>
    </w:p>
    <w:p w14:paraId="65E68F74" w14:textId="77777777" w:rsidR="00FF4D12" w:rsidRDefault="00FF4D12" w:rsidP="00FF4D12">
      <w:pPr>
        <w:spacing w:line="271" w:lineRule="auto"/>
        <w:rPr>
          <w:rFonts w:ascii="Times New Roman" w:hAnsi="Times New Roman" w:cs="Times New Roman"/>
          <w:sz w:val="28"/>
          <w:szCs w:val="28"/>
        </w:rPr>
      </w:pPr>
    </w:p>
    <w:p w14:paraId="5F40C58F" w14:textId="77777777" w:rsidR="00FF4D12" w:rsidRDefault="00FF4D12" w:rsidP="00FF4D12">
      <w:pPr>
        <w:spacing w:line="271" w:lineRule="auto"/>
        <w:rPr>
          <w:rFonts w:ascii="Times New Roman" w:hAnsi="Times New Roman" w:cs="Times New Roman"/>
          <w:sz w:val="28"/>
          <w:szCs w:val="28"/>
        </w:rPr>
      </w:pPr>
    </w:p>
    <w:p w14:paraId="23690F93" w14:textId="77777777" w:rsidR="00FF4D12" w:rsidRDefault="00FF4D12" w:rsidP="00FF4D12">
      <w:pPr>
        <w:spacing w:line="271" w:lineRule="auto"/>
        <w:rPr>
          <w:rFonts w:ascii="Times New Roman" w:hAnsi="Times New Roman" w:cs="Times New Roman"/>
          <w:sz w:val="28"/>
          <w:szCs w:val="28"/>
        </w:rPr>
      </w:pPr>
    </w:p>
    <w:p w14:paraId="2F5F06BC" w14:textId="77777777" w:rsidR="00FF4D12" w:rsidRDefault="00FF4D12" w:rsidP="00FF4D12">
      <w:pPr>
        <w:spacing w:line="271" w:lineRule="auto"/>
        <w:rPr>
          <w:rFonts w:ascii="Times New Roman" w:hAnsi="Times New Roman" w:cs="Times New Roman"/>
          <w:sz w:val="28"/>
          <w:szCs w:val="28"/>
        </w:rPr>
      </w:pPr>
    </w:p>
    <w:p w14:paraId="62E6F463" w14:textId="77777777" w:rsidR="00FF4D12" w:rsidRDefault="00FF4D12" w:rsidP="00FF4D12">
      <w:pPr>
        <w:spacing w:line="271" w:lineRule="auto"/>
        <w:rPr>
          <w:rFonts w:ascii="Times New Roman" w:hAnsi="Times New Roman" w:cs="Times New Roman"/>
          <w:sz w:val="28"/>
          <w:szCs w:val="28"/>
        </w:rPr>
      </w:pPr>
    </w:p>
    <w:p w14:paraId="45A25806" w14:textId="77777777" w:rsidR="00FF4D12" w:rsidRDefault="00FF4D12" w:rsidP="00FF4D12">
      <w:pPr>
        <w:spacing w:line="271" w:lineRule="auto"/>
        <w:rPr>
          <w:rFonts w:ascii="Times New Roman" w:hAnsi="Times New Roman" w:cs="Times New Roman"/>
          <w:sz w:val="28"/>
          <w:szCs w:val="28"/>
        </w:rPr>
      </w:pPr>
    </w:p>
    <w:p w14:paraId="2B628DD0" w14:textId="77777777" w:rsidR="00FF4D12" w:rsidRDefault="00FF4D12" w:rsidP="00FF4D12">
      <w:pPr>
        <w:spacing w:line="271" w:lineRule="auto"/>
        <w:rPr>
          <w:rFonts w:ascii="Times New Roman" w:hAnsi="Times New Roman" w:cs="Times New Roman"/>
          <w:sz w:val="28"/>
          <w:szCs w:val="28"/>
        </w:rPr>
      </w:pPr>
    </w:p>
    <w:p w14:paraId="0851D4BB" w14:textId="77777777" w:rsidR="00FF4D12" w:rsidRDefault="00FF4D12" w:rsidP="00FF4D12">
      <w:pPr>
        <w:spacing w:line="271" w:lineRule="auto"/>
        <w:rPr>
          <w:rFonts w:ascii="Times New Roman" w:hAnsi="Times New Roman" w:cs="Times New Roman"/>
          <w:sz w:val="28"/>
          <w:szCs w:val="28"/>
        </w:rPr>
      </w:pPr>
    </w:p>
    <w:p w14:paraId="226633B7" w14:textId="77777777" w:rsidR="00FF4D12" w:rsidRDefault="00FF4D12" w:rsidP="00FF4D12">
      <w:pPr>
        <w:spacing w:line="271" w:lineRule="auto"/>
        <w:rPr>
          <w:rFonts w:ascii="Times New Roman" w:hAnsi="Times New Roman" w:cs="Times New Roman"/>
          <w:sz w:val="28"/>
          <w:szCs w:val="28"/>
        </w:rPr>
      </w:pPr>
    </w:p>
    <w:p w14:paraId="729F7B84" w14:textId="77777777" w:rsidR="00FF4D12" w:rsidRDefault="00FF4D12" w:rsidP="00FF4D12">
      <w:pPr>
        <w:spacing w:line="271" w:lineRule="auto"/>
        <w:rPr>
          <w:rFonts w:ascii="Times New Roman" w:hAnsi="Times New Roman" w:cs="Times New Roman"/>
          <w:sz w:val="28"/>
          <w:szCs w:val="28"/>
        </w:rPr>
      </w:pPr>
    </w:p>
    <w:p w14:paraId="6D919B1B" w14:textId="77777777" w:rsidR="00FF4D12" w:rsidRDefault="00FF4D12" w:rsidP="00FF4D12">
      <w:pPr>
        <w:spacing w:line="271" w:lineRule="auto"/>
        <w:rPr>
          <w:rFonts w:ascii="Times New Roman" w:hAnsi="Times New Roman" w:cs="Times New Roman"/>
          <w:sz w:val="28"/>
          <w:szCs w:val="28"/>
        </w:rPr>
      </w:pPr>
    </w:p>
    <w:p w14:paraId="74FD8560" w14:textId="4287C4B1" w:rsidR="2588CCB3" w:rsidRPr="00FF4D12" w:rsidRDefault="2588CCB3" w:rsidP="00FF4D12">
      <w:pPr>
        <w:spacing w:line="271" w:lineRule="auto"/>
        <w:rPr>
          <w:rFonts w:ascii="Times New Roman" w:eastAsia="Arial" w:hAnsi="Times New Roman" w:cs="Times New Roman"/>
          <w:sz w:val="28"/>
          <w:szCs w:val="28"/>
        </w:rPr>
      </w:pPr>
      <w:r w:rsidRPr="00FF4D12">
        <w:rPr>
          <w:rFonts w:ascii="Times New Roman" w:hAnsi="Times New Roman" w:cs="Times New Roman"/>
          <w:sz w:val="28"/>
          <w:szCs w:val="28"/>
        </w:rPr>
        <w:br/>
      </w:r>
    </w:p>
    <w:p w14:paraId="77F951FA" w14:textId="58F6C4D5" w:rsidR="2588CCB3" w:rsidRPr="00FF4D12" w:rsidRDefault="2588CCB3" w:rsidP="2588CCB3">
      <w:pPr>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lastRenderedPageBreak/>
        <w:t>ВВЕДЕНИЕ</w:t>
      </w:r>
    </w:p>
    <w:p w14:paraId="1B13FC53" w14:textId="6184A2A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 был введен в клиническую практику в начале 1970-х годов и в настоящее время широко используется в медицине. Прогресс в области компьютерных технологий сделал ультразвуковые аппараты доступными, портативными и способными показывать изображения тканей и потока крови с высоким разрешением. </w:t>
      </w:r>
    </w:p>
    <w:p w14:paraId="6F50B8A2" w14:textId="4FFF6A2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Хотя процедура катетеризации центральных сосудов выполняется часто и является неотъемлемой частью медицинского обучения и практики, она может сопровождаться рядом с осложнений. В зависимости от характеристики пациентов, ориентировочный метод сосудистой катетеризации связан с 60- 95% успеха. В 2003 г. в Соединенных Штатах отмечено проведение более 5 миллионов катетеризаций центральных вен, при этом частота механических осложнений колебалась от 5% до 19%. </w:t>
      </w:r>
    </w:p>
    <w:p w14:paraId="0FCECDD7" w14:textId="2A3143D2"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Наиболее частыми осложнениями катетеризации внутренних яремных вен являются попадание в артерию и гематома. Наиболее распространенным осложнением катетеризации подключичной вены является пневмоторакс. Частота механических осложнений возрастает в шесть раз, когда выполняется более чем три попытки одним и тем же оператором. </w:t>
      </w:r>
    </w:p>
    <w:p w14:paraId="01533DDC" w14:textId="4B7030E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ультразвукового исследования (УЗИ) до или во время катетеризации значительно повышает вероятность успеха с первой попытки и уменьшает частоту осложнений. После выполнения двух неудачных попыток пункции сосуда одним и тем же оператором следующую попытку, когда это возможно, необходимо выполнить под контролем ультразвука. </w:t>
      </w:r>
    </w:p>
    <w:p w14:paraId="00FD34C8" w14:textId="1D9CF9E0" w:rsidR="2588CCB3" w:rsidRPr="00FF4D12" w:rsidRDefault="2588CCB3" w:rsidP="2588CCB3">
      <w:pPr>
        <w:pStyle w:val="2"/>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Принципы визуализации тканей, определения местоположения иглы и катетера с помощью ультразвука</w:t>
      </w:r>
    </w:p>
    <w:p w14:paraId="5D434DF5" w14:textId="1815EEA6" w:rsidR="2588CCB3" w:rsidRPr="00FF4D12" w:rsidRDefault="2588CCB3" w:rsidP="2588CCB3">
      <w:pPr>
        <w:rPr>
          <w:rFonts w:ascii="Times New Roman" w:eastAsia="Arial" w:hAnsi="Times New Roman" w:cs="Times New Roman"/>
          <w:sz w:val="28"/>
          <w:szCs w:val="28"/>
        </w:rPr>
      </w:pPr>
    </w:p>
    <w:p w14:paraId="57F89666" w14:textId="7F8194B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Методы, используемые для ультразвуковой визуализации сосудистых структур и окружающей анатомии, включают </w:t>
      </w:r>
      <w:proofErr w:type="spellStart"/>
      <w:r w:rsidRPr="00FF4D12">
        <w:rPr>
          <w:rFonts w:ascii="Times New Roman" w:eastAsia="Arial" w:hAnsi="Times New Roman" w:cs="Times New Roman"/>
          <w:sz w:val="28"/>
          <w:szCs w:val="28"/>
        </w:rPr>
        <w:t>серошкальное</w:t>
      </w:r>
      <w:proofErr w:type="spellEnd"/>
      <w:r w:rsidRPr="00FF4D12">
        <w:rPr>
          <w:rFonts w:ascii="Times New Roman" w:eastAsia="Arial" w:hAnsi="Times New Roman" w:cs="Times New Roman"/>
          <w:sz w:val="28"/>
          <w:szCs w:val="28"/>
        </w:rPr>
        <w:t xml:space="preserve"> двухмерное (2D) изображение, цветовую и спектральную допплерографию. Оператору необходимо иметь представление об ориентации датчика, изображении на дисплее, физике ультразвука, механизме генерации изображения, артефактах и уметь интерпретировать 2D изображения просвета сосуда и окружающих структур. Этот метод также требует приобретения необходимых навыков в проведении манипуляций иглой и датчиком, руководствуясь изображением на дисплее. Дополнительное использование цветового допплеровского картирования, подтверждающее наличие и </w:t>
      </w:r>
      <w:r w:rsidRPr="00FF4D12">
        <w:rPr>
          <w:rFonts w:ascii="Times New Roman" w:eastAsia="Arial" w:hAnsi="Times New Roman" w:cs="Times New Roman"/>
          <w:sz w:val="28"/>
          <w:szCs w:val="28"/>
        </w:rPr>
        <w:lastRenderedPageBreak/>
        <w:t xml:space="preserve">направление потока крови, требует понимания механизмов и недостатков анализа и отображения цветового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w:t>
      </w:r>
    </w:p>
    <w:p w14:paraId="54CF145B" w14:textId="1D20EE7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Двухмерное изображение нужного сосуда обычно отображается либо по длинной оси (long </w:t>
      </w:r>
      <w:proofErr w:type="spellStart"/>
      <w:r w:rsidRPr="00FF4D12">
        <w:rPr>
          <w:rFonts w:ascii="Times New Roman" w:eastAsia="Arial" w:hAnsi="Times New Roman" w:cs="Times New Roman"/>
          <w:sz w:val="28"/>
          <w:szCs w:val="28"/>
        </w:rPr>
        <w:t>axis</w:t>
      </w:r>
      <w:proofErr w:type="spellEnd"/>
      <w:r w:rsidRPr="00FF4D12">
        <w:rPr>
          <w:rFonts w:ascii="Times New Roman" w:eastAsia="Arial" w:hAnsi="Times New Roman" w:cs="Times New Roman"/>
          <w:sz w:val="28"/>
          <w:szCs w:val="28"/>
        </w:rPr>
        <w:t xml:space="preserve"> (LAX)), либо по короткой оси (short </w:t>
      </w:r>
      <w:proofErr w:type="spellStart"/>
      <w:r w:rsidRPr="00FF4D12">
        <w:rPr>
          <w:rFonts w:ascii="Times New Roman" w:eastAsia="Arial" w:hAnsi="Times New Roman" w:cs="Times New Roman"/>
          <w:sz w:val="28"/>
          <w:szCs w:val="28"/>
        </w:rPr>
        <w:t>axis</w:t>
      </w:r>
      <w:proofErr w:type="spellEnd"/>
      <w:r w:rsidRPr="00FF4D12">
        <w:rPr>
          <w:rFonts w:ascii="Times New Roman" w:eastAsia="Arial" w:hAnsi="Times New Roman" w:cs="Times New Roman"/>
          <w:sz w:val="28"/>
          <w:szCs w:val="28"/>
        </w:rPr>
        <w:t xml:space="preserve"> (SAX)), у каждого метода есть свои преимущества и недостатки при проведении иглы под нужным углом и на нужную глубину. </w:t>
      </w:r>
    </w:p>
    <w:p w14:paraId="7BF04F26" w14:textId="171C7F1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Изображение в SAX обзоре позволяет одновременно визуализировать срез тела иглы и окружающие анатомические структуры, однако данная проекция не отображает всю длину иглы и не обеспечивает в ходе проведения манипуляции понимания глубины введения. </w:t>
      </w:r>
    </w:p>
    <w:p w14:paraId="79E9EC4B" w14:textId="0171808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под контролем ультразвука в LAX обзоре дает возможность визуализировать всю иглу и глубину введения, и тем самым позволяет учитывать анатомические вариации по ходу прохождения иглы по мере того как игла продвигается глубже в пределах участка сосудистого доступа. </w:t>
      </w:r>
    </w:p>
    <w:p w14:paraId="7F866E00" w14:textId="19C733E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Ультразвуковой аппарат, используемый для катетеризации сосудов должен обладать следующими режимами </w:t>
      </w:r>
      <w:proofErr w:type="spellStart"/>
      <w:r w:rsidRPr="00FF4D12">
        <w:rPr>
          <w:rFonts w:ascii="Times New Roman" w:eastAsia="Arial" w:hAnsi="Times New Roman" w:cs="Times New Roman"/>
          <w:sz w:val="28"/>
          <w:szCs w:val="28"/>
        </w:rPr>
        <w:t>визуализации</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серошкальным</w:t>
      </w:r>
      <w:proofErr w:type="spellEnd"/>
      <w:r w:rsidRPr="00FF4D12">
        <w:rPr>
          <w:rFonts w:ascii="Times New Roman" w:eastAsia="Arial" w:hAnsi="Times New Roman" w:cs="Times New Roman"/>
          <w:sz w:val="28"/>
          <w:szCs w:val="28"/>
        </w:rPr>
        <w:t xml:space="preserve"> двухмерным, цветовым </w:t>
      </w:r>
      <w:proofErr w:type="spellStart"/>
      <w:r w:rsidRPr="00FF4D12">
        <w:rPr>
          <w:rFonts w:ascii="Times New Roman" w:eastAsia="Arial" w:hAnsi="Times New Roman" w:cs="Times New Roman"/>
          <w:sz w:val="28"/>
          <w:szCs w:val="28"/>
        </w:rPr>
        <w:t>допплеровским</w:t>
      </w:r>
      <w:proofErr w:type="spellEnd"/>
      <w:r w:rsidRPr="00FF4D12">
        <w:rPr>
          <w:rFonts w:ascii="Times New Roman" w:eastAsia="Arial" w:hAnsi="Times New Roman" w:cs="Times New Roman"/>
          <w:sz w:val="28"/>
          <w:szCs w:val="28"/>
        </w:rPr>
        <w:t xml:space="preserve"> картированием, спектральным </w:t>
      </w:r>
      <w:proofErr w:type="spellStart"/>
      <w:r w:rsidRPr="00FF4D12">
        <w:rPr>
          <w:rFonts w:ascii="Times New Roman" w:eastAsia="Arial" w:hAnsi="Times New Roman" w:cs="Times New Roman"/>
          <w:sz w:val="28"/>
          <w:szCs w:val="28"/>
        </w:rPr>
        <w:t>допплером</w:t>
      </w:r>
      <w:proofErr w:type="spellEnd"/>
      <w:r w:rsidRPr="00FF4D12">
        <w:rPr>
          <w:rFonts w:ascii="Times New Roman" w:eastAsia="Arial" w:hAnsi="Times New Roman" w:cs="Times New Roman"/>
          <w:sz w:val="28"/>
          <w:szCs w:val="28"/>
        </w:rPr>
        <w:t xml:space="preserve">. Применяются линейные высокочастотные (&gt;7 MHz) ультразвуковые датчики, так как обеспечивают лучшее разрешение поверхностных структур в непосредственной близости от поверхности кожи. </w:t>
      </w:r>
    </w:p>
    <w:p w14:paraId="665057ED" w14:textId="190835D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Сторона маркировки на датчике соответствует значку на экране (по умолчанию – левый верхний угол). Эта маркировка может быть малопонятной, особенно при помещении датчика в чехол для создания стерильности. Простым приемом определения стороны датчика является создание небольшого внешнего давления с одной стороны датчика. Для выполнения манипуляции важно правильно ориентировать датчик. Ультразвуковой датчик удерживают так, чтобы каждая часть экрана отображала </w:t>
      </w:r>
      <w:proofErr w:type="spellStart"/>
      <w:r w:rsidRPr="00FF4D12">
        <w:rPr>
          <w:rFonts w:ascii="Times New Roman" w:eastAsia="Arial" w:hAnsi="Times New Roman" w:cs="Times New Roman"/>
          <w:sz w:val="28"/>
          <w:szCs w:val="28"/>
        </w:rPr>
        <w:t>ипсилатеральные</w:t>
      </w:r>
      <w:proofErr w:type="spellEnd"/>
      <w:r w:rsidRPr="00FF4D12">
        <w:rPr>
          <w:rFonts w:ascii="Times New Roman" w:eastAsia="Arial" w:hAnsi="Times New Roman" w:cs="Times New Roman"/>
          <w:sz w:val="28"/>
          <w:szCs w:val="28"/>
        </w:rPr>
        <w:t xml:space="preserve"> структуры. </w:t>
      </w:r>
      <w:proofErr w:type="spellStart"/>
      <w:r w:rsidRPr="00FF4D12">
        <w:rPr>
          <w:rFonts w:ascii="Times New Roman" w:eastAsia="Arial" w:hAnsi="Times New Roman" w:cs="Times New Roman"/>
          <w:sz w:val="28"/>
          <w:szCs w:val="28"/>
        </w:rPr>
        <w:t>Ипсилатеральное</w:t>
      </w:r>
      <w:proofErr w:type="spellEnd"/>
      <w:r w:rsidRPr="00FF4D12">
        <w:rPr>
          <w:rFonts w:ascii="Times New Roman" w:eastAsia="Arial" w:hAnsi="Times New Roman" w:cs="Times New Roman"/>
          <w:sz w:val="28"/>
          <w:szCs w:val="28"/>
        </w:rPr>
        <w:t xml:space="preserve"> положение ориентирует датчик так, чтобы правая половина экрана соответствовала правой стороне больного, а левая половина экрана – левой стороне больного. Это облегчает проведение манипуляций под прямым визуальным контролем, поскольку при </w:t>
      </w:r>
      <w:proofErr w:type="spellStart"/>
      <w:r w:rsidRPr="00FF4D12">
        <w:rPr>
          <w:rFonts w:ascii="Times New Roman" w:eastAsia="Arial" w:hAnsi="Times New Roman" w:cs="Times New Roman"/>
          <w:sz w:val="28"/>
          <w:szCs w:val="28"/>
        </w:rPr>
        <w:t>ипсилатеральном</w:t>
      </w:r>
      <w:proofErr w:type="spellEnd"/>
      <w:r w:rsidRPr="00FF4D12">
        <w:rPr>
          <w:rFonts w:ascii="Times New Roman" w:eastAsia="Arial" w:hAnsi="Times New Roman" w:cs="Times New Roman"/>
          <w:sz w:val="28"/>
          <w:szCs w:val="28"/>
        </w:rPr>
        <w:t xml:space="preserve"> положении датчика отклонение иглы вправо приведет ее визуальному смещению на экране монитора вправо, при отклонении иглы влево – игла на экране также сместится влево. При контралатеральном положении датчика </w:t>
      </w:r>
      <w:r w:rsidRPr="00FF4D12">
        <w:rPr>
          <w:rFonts w:ascii="Times New Roman" w:eastAsia="Arial" w:hAnsi="Times New Roman" w:cs="Times New Roman"/>
          <w:sz w:val="28"/>
          <w:szCs w:val="28"/>
        </w:rPr>
        <w:lastRenderedPageBreak/>
        <w:t xml:space="preserve">отклонение иглы вправо приведет ее визуальному смещению на экране монитора влево, а при отклонении иглы влево – игла на экране сместиться вправо. При контралатеральном позиционировании датчика левая часть экрана отображает структуры, относящиеся к правой стороне пациента, а правая к левой. </w:t>
      </w:r>
    </w:p>
    <w:p w14:paraId="774A1100" w14:textId="3AD898D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Ультразвуковой контроль для обеспечения сосудистого доступа наиболее эффективен при его использовании в режиме реального времени (во время продвижения иглы). Иглу визуализируют на дисплее, направляют к целевому сосуду и продвигают на соответствующую глубину. </w:t>
      </w:r>
    </w:p>
    <w:p w14:paraId="7E82CFCA" w14:textId="1E65AF7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Статическая ультразвуковая визуализация использует ультразвук для идентификации места ввода иглы в кожу над сосудом. Под контролем ультразвука производит разметку на коже для дальнейшей катетеризации вслепую. Как статическое, так и УЗИ в реальном времени превосходит традиционный подход, руководствующийся ориентирами. </w:t>
      </w:r>
    </w:p>
    <w:p w14:paraId="02A73705" w14:textId="5F000F43"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Катетеризацию под ультразвуковым контролем в реальном времени обычно может выполнять один или два оператора. Если катетеризацию выполняет один оператор, то </w:t>
      </w:r>
      <w:proofErr w:type="spellStart"/>
      <w:r w:rsidRPr="00FF4D12">
        <w:rPr>
          <w:rFonts w:ascii="Times New Roman" w:eastAsia="Arial" w:hAnsi="Times New Roman" w:cs="Times New Roman"/>
          <w:sz w:val="28"/>
          <w:szCs w:val="28"/>
        </w:rPr>
        <w:t>недоминирующей</w:t>
      </w:r>
      <w:proofErr w:type="spellEnd"/>
      <w:r w:rsidRPr="00FF4D12">
        <w:rPr>
          <w:rFonts w:ascii="Times New Roman" w:eastAsia="Arial" w:hAnsi="Times New Roman" w:cs="Times New Roman"/>
          <w:sz w:val="28"/>
          <w:szCs w:val="28"/>
        </w:rPr>
        <w:t xml:space="preserve"> рукой он держит датчик, а доминирующей рукой управляет иглой. Визуально успешную пункцию подтверждают аспирацией крови, датчик откладывают в сторону и проводят традиционную катетеризацию вены. Если катетеризацию осуществляют двое, то один выполняет УЗИ навигацию области центральной вены в режиме реального времени, а другой - катетеризацию. </w:t>
      </w:r>
    </w:p>
    <w:p w14:paraId="57DCA8DD" w14:textId="17EC7FD9" w:rsidR="2588CCB3" w:rsidRPr="00FF4D12" w:rsidRDefault="2588CCB3" w:rsidP="2588CCB3">
      <w:pPr>
        <w:pStyle w:val="1"/>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Идентификация сосудов</w:t>
      </w:r>
    </w:p>
    <w:p w14:paraId="12387CE6" w14:textId="54E552B5" w:rsidR="2588CCB3" w:rsidRPr="00FF4D12" w:rsidRDefault="2588CCB3" w:rsidP="2588CCB3">
      <w:pPr>
        <w:ind w:firstLine="703"/>
        <w:rPr>
          <w:rFonts w:ascii="Times New Roman" w:eastAsia="Arial" w:hAnsi="Times New Roman" w:cs="Times New Roman"/>
          <w:sz w:val="28"/>
          <w:szCs w:val="28"/>
        </w:rPr>
      </w:pPr>
    </w:p>
    <w:p w14:paraId="4BD8125B" w14:textId="462202CA"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Основными различиями вены от артерии на ультразвуковом 2D изображении являются неправильная форма вены (артерия как правило круглая), стенки артерии более толстые, но главным отличием является признак сжимаемости вены при небольшом внешнем поверхностном надавливании. Отсутствие сжимаемости вены свидетельствует о наличии тромба. Включение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помогает отличить вену от артерии. </w:t>
      </w:r>
    </w:p>
    <w:p w14:paraId="378F0627" w14:textId="13634012"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Артериальный кровоток виден только в систолу. Венозный кровоток виден в систоле и в диастоле. Необходимо помнить, что цвет не определяет характер кровотока (венозный или артериальный), а зависит от направления потока (от датчика или к датчику) По умолчанию аппарат красным цветом маркирует поток крови, направленный к датчику, а синим – от датчика. Изменение наклона датчика может приводить к изменению цвета сосуда на экране ультразвукового аппарата. При строго </w:t>
      </w:r>
      <w:r w:rsidRPr="00FF4D12">
        <w:rPr>
          <w:rFonts w:ascii="Times New Roman" w:eastAsia="Arial" w:hAnsi="Times New Roman" w:cs="Times New Roman"/>
          <w:sz w:val="28"/>
          <w:szCs w:val="28"/>
        </w:rPr>
        <w:lastRenderedPageBreak/>
        <w:t xml:space="preserve">перпендикулярной постановке датчика к оси сосуда, одновременно могут быть различные цвета или цвет может отсутствовать, поскольку аппарат не может определить направление тока крови. </w:t>
      </w:r>
    </w:p>
    <w:p w14:paraId="33D07E88" w14:textId="022C979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Артериальный кровоток имеет преимущественно систолический компонент и большую скорость по сравнению с венозным кровотоком, который имеет систолический и диастолический компонент и значительно более низкую скорость. </w:t>
      </w:r>
    </w:p>
    <w:p w14:paraId="559F6347" w14:textId="2ED9A625" w:rsidR="2588CCB3" w:rsidRPr="00FF4D12" w:rsidRDefault="2588CCB3" w:rsidP="2588CCB3">
      <w:pPr>
        <w:pStyle w:val="2"/>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Методики катетеризации сосудов</w:t>
      </w:r>
    </w:p>
    <w:p w14:paraId="007FCA0B" w14:textId="0F62DD6F" w:rsidR="2588CCB3" w:rsidRPr="00FF4D12" w:rsidRDefault="2588CCB3" w:rsidP="2588CCB3">
      <w:pPr>
        <w:pStyle w:val="2"/>
        <w:rPr>
          <w:rFonts w:ascii="Times New Roman" w:eastAsia="Arial" w:hAnsi="Times New Roman" w:cs="Times New Roman"/>
          <w:b/>
          <w:bCs/>
          <w:i/>
          <w:iCs/>
          <w:color w:val="000000" w:themeColor="text1"/>
          <w:sz w:val="28"/>
          <w:szCs w:val="28"/>
        </w:rPr>
      </w:pPr>
    </w:p>
    <w:p w14:paraId="67C12B5F" w14:textId="7CAE8B87" w:rsidR="2588CCB3" w:rsidRPr="00FF4D12" w:rsidRDefault="2588CCB3" w:rsidP="2588CCB3">
      <w:pPr>
        <w:pStyle w:val="2"/>
        <w:rPr>
          <w:rFonts w:ascii="Times New Roman" w:eastAsia="Arial" w:hAnsi="Times New Roman" w:cs="Times New Roman"/>
          <w:b/>
          <w:bCs/>
          <w:i/>
          <w:iCs/>
          <w:color w:val="000000" w:themeColor="text1"/>
          <w:sz w:val="28"/>
          <w:szCs w:val="28"/>
          <w:u w:val="single"/>
        </w:rPr>
      </w:pPr>
      <w:r w:rsidRPr="00FF4D12">
        <w:rPr>
          <w:rFonts w:ascii="Times New Roman" w:eastAsia="Arial" w:hAnsi="Times New Roman" w:cs="Times New Roman"/>
          <w:b/>
          <w:bCs/>
          <w:i/>
          <w:iCs/>
          <w:color w:val="000000" w:themeColor="text1"/>
          <w:sz w:val="28"/>
          <w:szCs w:val="28"/>
        </w:rPr>
        <w:t>Катетеризация вены по длинной оси</w:t>
      </w:r>
    </w:p>
    <w:p w14:paraId="4E88500C" w14:textId="7EBDD731"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Для катетеризации вены по LAX необходимо выполнить продольное сканирование вены. Если не получается осуществить сканирование вены в плоскости LAX, то выполняется прием разворота датчика из SAX в LAX по двум точкам. Для этого </w:t>
      </w:r>
      <w:proofErr w:type="spellStart"/>
      <w:r w:rsidRPr="00FF4D12">
        <w:rPr>
          <w:rFonts w:ascii="Times New Roman" w:eastAsia="Arial" w:hAnsi="Times New Roman" w:cs="Times New Roman"/>
          <w:sz w:val="28"/>
          <w:szCs w:val="28"/>
        </w:rPr>
        <w:t>недоминирующей</w:t>
      </w:r>
      <w:proofErr w:type="spellEnd"/>
      <w:r w:rsidRPr="00FF4D12">
        <w:rPr>
          <w:rFonts w:ascii="Times New Roman" w:eastAsia="Arial" w:hAnsi="Times New Roman" w:cs="Times New Roman"/>
          <w:sz w:val="28"/>
          <w:szCs w:val="28"/>
        </w:rPr>
        <w:t xml:space="preserve"> рукой проводится сканирование немного выше места предполагаемой пункции, вена ориентируется посредине экрана, что соответствует середине датчика. Доминирующей рукой осуществляют разметку на коже. Затем датчик проводят дальше предполагаемой точки пункции и снова ориентируют вену посередине экрана. Ставят вторую метку. Эти две метки позволяют создать линию, по которой производится разворот датчика для визуализации вены в продольной плоскости. При пункции и катетеризации вены по длинной оси, продвижение кончика и тела иглы визуально контролируется в течение всего времени пункции вены, также контролируется заведение проводника в вену. </w:t>
      </w:r>
    </w:p>
    <w:p w14:paraId="39EB8867" w14:textId="64165ED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Методика выполнения катетеризации по длинной оси имеет вариант ее выполнения одним оператором без аспирационной пробы. При катетеризации без аспирационной пробы перед началом процедуры к игле подсоединяют футляр с J-образным проводником. Визуализируют вену по LAX, под постоянным продольным УЗ контролем продвигают иглу до передней стенки вены и осуществляют ее пункцию. После определения иглы в просвете вены тотчас, без аспирации, вводят J-образный проводник. </w:t>
      </w:r>
    </w:p>
    <w:p w14:paraId="78F9B416" w14:textId="1DCBC56F" w:rsidR="2588CCB3" w:rsidRPr="00FF4D12" w:rsidRDefault="2588CCB3" w:rsidP="2588CCB3">
      <w:pPr>
        <w:pStyle w:val="2"/>
        <w:rPr>
          <w:rFonts w:ascii="Times New Roman" w:eastAsia="Arial" w:hAnsi="Times New Roman" w:cs="Times New Roman"/>
          <w:b/>
          <w:bCs/>
          <w:i/>
          <w:iCs/>
          <w:color w:val="000000" w:themeColor="text1"/>
          <w:sz w:val="28"/>
          <w:szCs w:val="28"/>
          <w:u w:val="single"/>
        </w:rPr>
      </w:pPr>
      <w:r w:rsidRPr="00FF4D12">
        <w:rPr>
          <w:rFonts w:ascii="Times New Roman" w:eastAsia="Arial" w:hAnsi="Times New Roman" w:cs="Times New Roman"/>
          <w:b/>
          <w:bCs/>
          <w:i/>
          <w:iCs/>
          <w:color w:val="000000" w:themeColor="text1"/>
          <w:sz w:val="28"/>
          <w:szCs w:val="28"/>
        </w:rPr>
        <w:t>Катетеризация вены по короткой оси</w:t>
      </w:r>
    </w:p>
    <w:p w14:paraId="59D27814" w14:textId="06AD1A50"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катетеризации вены по SAX кончик иглы визуализируется на экране в виде точки только в месте пересечения иглы и плоскости сканирования. В процессе проведения пункции продвижение иглы не видно, поэтому основной проблемой катетеризации является отклонение иглы от желаемой траектории. Подобное отклонение может приводить к пункции </w:t>
      </w:r>
      <w:r w:rsidRPr="00FF4D12">
        <w:rPr>
          <w:rFonts w:ascii="Times New Roman" w:eastAsia="Arial" w:hAnsi="Times New Roman" w:cs="Times New Roman"/>
          <w:sz w:val="28"/>
          <w:szCs w:val="28"/>
        </w:rPr>
        <w:lastRenderedPageBreak/>
        <w:t xml:space="preserve">двух стенок вены еще до того, как игла достигнет плоскости сканирования. Для того, чтобы избежать подобного осложнения существуют несколько методик пункции вены по короткой оси. </w:t>
      </w:r>
    </w:p>
    <w:p w14:paraId="515028AC" w14:textId="0E0AAA97" w:rsidR="2588CCB3" w:rsidRPr="00FF4D12" w:rsidRDefault="2588CCB3" w:rsidP="2588CCB3">
      <w:pPr>
        <w:rPr>
          <w:rFonts w:ascii="Times New Roman" w:eastAsia="Arial" w:hAnsi="Times New Roman" w:cs="Times New Roman"/>
          <w:b/>
          <w:bCs/>
          <w:i/>
          <w:iCs/>
          <w:sz w:val="28"/>
          <w:szCs w:val="28"/>
          <w:u w:val="single"/>
        </w:rPr>
      </w:pPr>
      <w:r w:rsidRPr="00FF4D12">
        <w:rPr>
          <w:rFonts w:ascii="Times New Roman" w:eastAsia="Arial" w:hAnsi="Times New Roman" w:cs="Times New Roman"/>
          <w:b/>
          <w:bCs/>
          <w:i/>
          <w:iCs/>
          <w:sz w:val="28"/>
          <w:szCs w:val="28"/>
        </w:rPr>
        <w:t>Пункция вены по короткой оси методикой «треугольников»</w:t>
      </w:r>
    </w:p>
    <w:p w14:paraId="5C27D02B" w14:textId="2DBBD8C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Методика «треугольников» основана на расчете катетов и углов прямоугольного треугольника. Датчик ставится строго перпендикулярно коже, образуя угол 90</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Отмечается глубина расположения стенки вены. Такое же расстояние откладывается на коже. Равные катеты прямоугольного треугольника определяют угол в треугольнике у гипотенузы равным 45</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xml:space="preserve">. Соблюдение угла </w:t>
      </w:r>
      <w:proofErr w:type="spellStart"/>
      <w:r w:rsidRPr="00FF4D12">
        <w:rPr>
          <w:rFonts w:ascii="Times New Roman" w:eastAsia="Arial" w:hAnsi="Times New Roman" w:cs="Times New Roman"/>
          <w:sz w:val="28"/>
          <w:szCs w:val="28"/>
        </w:rPr>
        <w:t>вкола</w:t>
      </w:r>
      <w:proofErr w:type="spellEnd"/>
      <w:r w:rsidRPr="00FF4D12">
        <w:rPr>
          <w:rFonts w:ascii="Times New Roman" w:eastAsia="Arial" w:hAnsi="Times New Roman" w:cs="Times New Roman"/>
          <w:sz w:val="28"/>
          <w:szCs w:val="28"/>
        </w:rPr>
        <w:t xml:space="preserve"> 45</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xml:space="preserve"> позволит достигнуть места входа иглы в вену как раз в плоскости визуализации. </w:t>
      </w:r>
    </w:p>
    <w:p w14:paraId="60616BBE" w14:textId="5E599FD8" w:rsidR="2588CCB3" w:rsidRPr="00FF4D12" w:rsidRDefault="2588CCB3" w:rsidP="2588CCB3">
      <w:pPr>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Пункция вены по короткой оси методикой «сверху вниз».</w:t>
      </w:r>
    </w:p>
    <w:p w14:paraId="5C9E1612" w14:textId="5B5DD36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Методика «сверху вниз» регламентирует ориентировочный проход иглой в поверхностных слоях относительно вены. Изначально игла вводится под более острым углом, чем необходимо, над сосудом. Обязательная визуализация этого предварительного хода иглы позволяет определить насколько произошло отклонение от срединной линии и предотвратить прокол двух стенок. Коррекция траектории движения иглы осуществляется уже с учетом полученной информации. </w:t>
      </w:r>
    </w:p>
    <w:p w14:paraId="24632E91" w14:textId="116AFCC0" w:rsidR="2588CCB3" w:rsidRPr="00FF4D12" w:rsidRDefault="2588CCB3" w:rsidP="2588CCB3">
      <w:pPr>
        <w:spacing w:line="271" w:lineRule="auto"/>
        <w:ind w:left="11" w:hanging="11"/>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Пункция вены по короткой оси методикой «движения перед иглой»</w:t>
      </w:r>
    </w:p>
    <w:p w14:paraId="4CB8F3AA" w14:textId="61D4031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В основе методики «движения перед иглой» также лежит появление иглы на экране монитора выше вены. Обязательным условием является расположение кончика иглы в непосредственной близости над веной так, чтобы дальнейшее продвижение иглы гарантировало ее попадание в сосуд. Важно соблюдать принцип «движения перед иглой»: сначала немного сдвигается датчик, затем продвигается игла до появления ее кончика на экране. </w:t>
      </w:r>
    </w:p>
    <w:p w14:paraId="23923DB5" w14:textId="177A167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Эффект сжатия вены иглой при ее пункции. Как правило, передняя стенка вены сдавливается, когда игла приближается к вене. Вена приобретает свою нормальную форму после того, как игла проникает через ее стенку. Эффект сжатия прерывается, когда игла входит в вену (о чем говорит аспирация крови в шприц) и сосуд принимает свою нормальную форму. При низком давлении в вене, она может частично или полностью сжиматься во время продвижения иглы, в результате чего передняя и задняя стенки могут быть проколоты без аспирации крови в шприц. </w:t>
      </w:r>
    </w:p>
    <w:p w14:paraId="22973D65" w14:textId="2BFCE233" w:rsidR="2588CCB3" w:rsidRPr="00FF4D12" w:rsidRDefault="2588CCB3" w:rsidP="2588CCB3">
      <w:pPr>
        <w:pStyle w:val="2"/>
        <w:rPr>
          <w:rFonts w:ascii="Times New Roman" w:eastAsia="Arial" w:hAnsi="Times New Roman" w:cs="Times New Roman"/>
          <w:b/>
          <w:bCs/>
          <w:i/>
          <w:iCs/>
          <w:color w:val="000000" w:themeColor="text1"/>
          <w:sz w:val="28"/>
          <w:szCs w:val="28"/>
        </w:rPr>
      </w:pPr>
      <w:r w:rsidRPr="00FF4D12">
        <w:rPr>
          <w:rFonts w:ascii="Times New Roman" w:eastAsia="Arial" w:hAnsi="Times New Roman" w:cs="Times New Roman"/>
          <w:b/>
          <w:bCs/>
          <w:i/>
          <w:iCs/>
          <w:color w:val="000000" w:themeColor="text1"/>
          <w:sz w:val="28"/>
          <w:szCs w:val="28"/>
        </w:rPr>
        <w:lastRenderedPageBreak/>
        <w:t>Катетеризация внутренней яремной вены</w:t>
      </w:r>
    </w:p>
    <w:p w14:paraId="5568E682" w14:textId="0103653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Внутренняя яремная вена выходит из наружного яремного отверстия в основании черепа кзади от внутренней сонной артерии и, направляясь каудально, смещается к переднелатеральному положению (по отношению к сонной артерии). Исследователи Дэнис и </w:t>
      </w:r>
      <w:proofErr w:type="spellStart"/>
      <w:r w:rsidRPr="00FF4D12">
        <w:rPr>
          <w:rFonts w:ascii="Times New Roman" w:eastAsia="Arial" w:hAnsi="Times New Roman" w:cs="Times New Roman"/>
          <w:sz w:val="28"/>
          <w:szCs w:val="28"/>
        </w:rPr>
        <w:t>Уретски</w:t>
      </w:r>
      <w:proofErr w:type="spellEnd"/>
      <w:r w:rsidRPr="00FF4D12">
        <w:rPr>
          <w:rFonts w:ascii="Times New Roman" w:eastAsia="Arial" w:hAnsi="Times New Roman" w:cs="Times New Roman"/>
          <w:sz w:val="28"/>
          <w:szCs w:val="28"/>
        </w:rPr>
        <w:t xml:space="preserve"> (1991) показали, что внутренняя яремная вена расположена в переднебоковом положении от внутренней сонной артерии у 92% пациентов, у 1% - более 1 см латеральнее сонной артерии, у 2% -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сонной артерии, у 5,5% - кнаружи. </w:t>
      </w:r>
    </w:p>
    <w:p w14:paraId="056870C2" w14:textId="54EC4FF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Подготовка пациента для катетеризации под ультразвуком не отличается от традиционной методики. Пациента укладывают на спину, голову поворачивают в противоположную сторону. Вероятность перекрытия внутренней яремной веной сонной артерии увеличивалась при повороте головы в контралатеральную сторону от 0 до 40 и 80 град. </w:t>
      </w:r>
    </w:p>
    <w:p w14:paraId="47EA474A" w14:textId="19931B2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Производят </w:t>
      </w:r>
      <w:proofErr w:type="spellStart"/>
      <w:r w:rsidRPr="00FF4D12">
        <w:rPr>
          <w:rFonts w:ascii="Times New Roman" w:eastAsia="Arial" w:hAnsi="Times New Roman" w:cs="Times New Roman"/>
          <w:sz w:val="28"/>
          <w:szCs w:val="28"/>
        </w:rPr>
        <w:t>ипсилатеральное</w:t>
      </w:r>
      <w:proofErr w:type="spellEnd"/>
      <w:r w:rsidRPr="00FF4D12">
        <w:rPr>
          <w:rFonts w:ascii="Times New Roman" w:eastAsia="Arial" w:hAnsi="Times New Roman" w:cs="Times New Roman"/>
          <w:sz w:val="28"/>
          <w:szCs w:val="28"/>
        </w:rPr>
        <w:t xml:space="preserve"> сканирование сосудов в поперечной плоскости. Идентифицируют внутреннюю яремную вену по принципам, изложенным выше. Диаметр внутренней яремной вены изменяется в зависимости от положения и </w:t>
      </w:r>
      <w:proofErr w:type="spellStart"/>
      <w:r w:rsidRPr="00FF4D12">
        <w:rPr>
          <w:rFonts w:ascii="Times New Roman" w:eastAsia="Arial" w:hAnsi="Times New Roman" w:cs="Times New Roman"/>
          <w:sz w:val="28"/>
          <w:szCs w:val="28"/>
        </w:rPr>
        <w:t>волемического</w:t>
      </w:r>
      <w:proofErr w:type="spellEnd"/>
      <w:r w:rsidRPr="00FF4D12">
        <w:rPr>
          <w:rFonts w:ascii="Times New Roman" w:eastAsia="Arial" w:hAnsi="Times New Roman" w:cs="Times New Roman"/>
          <w:sz w:val="28"/>
          <w:szCs w:val="28"/>
        </w:rPr>
        <w:t xml:space="preserve"> статуса пациента. При катетеризации внутренней яремной вены, если это не противопоказано, пациенты должен быть помещен в положение </w:t>
      </w:r>
      <w:proofErr w:type="spellStart"/>
      <w:r w:rsidRPr="00FF4D12">
        <w:rPr>
          <w:rFonts w:ascii="Times New Roman" w:eastAsia="Arial" w:hAnsi="Times New Roman" w:cs="Times New Roman"/>
          <w:sz w:val="28"/>
          <w:szCs w:val="28"/>
        </w:rPr>
        <w:t>Тределенбурга</w:t>
      </w:r>
      <w:proofErr w:type="spellEnd"/>
      <w:r w:rsidRPr="00FF4D12">
        <w:rPr>
          <w:rFonts w:ascii="Times New Roman" w:eastAsia="Arial" w:hAnsi="Times New Roman" w:cs="Times New Roman"/>
          <w:sz w:val="28"/>
          <w:szCs w:val="28"/>
        </w:rPr>
        <w:t xml:space="preserve"> для </w:t>
      </w:r>
      <w:proofErr w:type="spellStart"/>
      <w:r w:rsidRPr="00FF4D12">
        <w:rPr>
          <w:rFonts w:ascii="Times New Roman" w:eastAsia="Arial" w:hAnsi="Times New Roman" w:cs="Times New Roman"/>
          <w:sz w:val="28"/>
          <w:szCs w:val="28"/>
        </w:rPr>
        <w:t>увелечения</w:t>
      </w:r>
      <w:proofErr w:type="spellEnd"/>
      <w:r w:rsidRPr="00FF4D12">
        <w:rPr>
          <w:rFonts w:ascii="Times New Roman" w:eastAsia="Arial" w:hAnsi="Times New Roman" w:cs="Times New Roman"/>
          <w:sz w:val="28"/>
          <w:szCs w:val="28"/>
        </w:rPr>
        <w:t xml:space="preserve"> диаметра вены и уменьшения риска воздушной эмболии. Проба </w:t>
      </w:r>
      <w:proofErr w:type="spellStart"/>
      <w:r w:rsidRPr="00FF4D12">
        <w:rPr>
          <w:rFonts w:ascii="Times New Roman" w:eastAsia="Arial" w:hAnsi="Times New Roman" w:cs="Times New Roman"/>
          <w:sz w:val="28"/>
          <w:szCs w:val="28"/>
        </w:rPr>
        <w:t>Вальсальвы</w:t>
      </w:r>
      <w:proofErr w:type="spellEnd"/>
      <w:r w:rsidRPr="00FF4D12">
        <w:rPr>
          <w:rFonts w:ascii="Times New Roman" w:eastAsia="Arial" w:hAnsi="Times New Roman" w:cs="Times New Roman"/>
          <w:sz w:val="28"/>
          <w:szCs w:val="28"/>
        </w:rPr>
        <w:t xml:space="preserve"> также увеличивает диаметр вен и особенно полезна у пациентов с </w:t>
      </w:r>
      <w:proofErr w:type="spellStart"/>
      <w:r w:rsidRPr="00FF4D12">
        <w:rPr>
          <w:rFonts w:ascii="Times New Roman" w:eastAsia="Arial" w:hAnsi="Times New Roman" w:cs="Times New Roman"/>
          <w:sz w:val="28"/>
          <w:szCs w:val="28"/>
        </w:rPr>
        <w:t>гиповолемией</w:t>
      </w:r>
      <w:proofErr w:type="spellEnd"/>
      <w:r w:rsidRPr="00FF4D12">
        <w:rPr>
          <w:rFonts w:ascii="Times New Roman" w:eastAsia="Arial" w:hAnsi="Times New Roman" w:cs="Times New Roman"/>
          <w:sz w:val="28"/>
          <w:szCs w:val="28"/>
        </w:rPr>
        <w:t xml:space="preserve">. </w:t>
      </w:r>
    </w:p>
    <w:p w14:paraId="708862DD" w14:textId="47B6088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Пункцию вены производят по короткой или длинной оси. Появление крови в шприце свидетельствует о том, что игла попала в просвет внутренней яремной вены. Отделяют шприц от иглы и проводят катетеризацию вены по методу </w:t>
      </w:r>
      <w:proofErr w:type="spellStart"/>
      <w:r w:rsidRPr="00FF4D12">
        <w:rPr>
          <w:rFonts w:ascii="Times New Roman" w:eastAsia="Arial" w:hAnsi="Times New Roman" w:cs="Times New Roman"/>
          <w:sz w:val="28"/>
          <w:szCs w:val="28"/>
        </w:rPr>
        <w:t>Сельдингера</w:t>
      </w:r>
      <w:proofErr w:type="spellEnd"/>
      <w:r w:rsidRPr="00FF4D12">
        <w:rPr>
          <w:rFonts w:ascii="Times New Roman" w:eastAsia="Arial" w:hAnsi="Times New Roman" w:cs="Times New Roman"/>
          <w:sz w:val="28"/>
          <w:szCs w:val="28"/>
        </w:rPr>
        <w:t xml:space="preserve">. Для этого через просвет иглы в вену вводят проводник. Иглу удаляют, проводник остается в вене. Целесообразно с помощью ультразвука убедиться в нахождении проводника в полости внутренней яремной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14:paraId="4309983D" w14:textId="13E97B7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 для пункции и катетеризации внутренней яремной вены в реальном времени, когда это возможно, для идентификации вены, повышает вероятность катетеризации с первой попытки, а также уменьшения вероятности повреждения сонной артерии. </w:t>
      </w:r>
    </w:p>
    <w:p w14:paraId="452E7E80" w14:textId="770D58BC" w:rsidR="2588CCB3" w:rsidRPr="00FF4D12" w:rsidRDefault="2588CCB3" w:rsidP="2588CCB3">
      <w:pPr>
        <w:pStyle w:val="2"/>
        <w:rPr>
          <w:rFonts w:ascii="Times New Roman" w:eastAsia="Arial" w:hAnsi="Times New Roman" w:cs="Times New Roman"/>
          <w:b/>
          <w:bCs/>
          <w:i/>
          <w:iCs/>
          <w:color w:val="000000" w:themeColor="text1"/>
          <w:sz w:val="28"/>
          <w:szCs w:val="28"/>
        </w:rPr>
      </w:pPr>
      <w:r w:rsidRPr="00FF4D12">
        <w:rPr>
          <w:rFonts w:ascii="Times New Roman" w:eastAsia="Arial" w:hAnsi="Times New Roman" w:cs="Times New Roman"/>
          <w:b/>
          <w:bCs/>
          <w:i/>
          <w:iCs/>
          <w:color w:val="000000" w:themeColor="text1"/>
          <w:sz w:val="28"/>
          <w:szCs w:val="28"/>
        </w:rPr>
        <w:lastRenderedPageBreak/>
        <w:t>Катетеризация подключичной вены</w:t>
      </w:r>
    </w:p>
    <w:p w14:paraId="222F7507" w14:textId="55E9191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Преимуществами использования подключичной вены для центрального венозного доступа являются: постоянные для всех поверхностные анатомические ориентиры и локализация вены, комфорт для пациента, и более низкий риск инфицирования. В отличие от катетеризации внутренней яремной вены, при которой непреднамеренная травма соседней сонной артерии может поставить под угрозу кровообращение мозга, непреднамеренная травма расположенной рядом подключичной артерии во время катетеризации подключичной вены приводит к менее серьезным осложнениям. </w:t>
      </w:r>
    </w:p>
    <w:p w14:paraId="25A5FE0E" w14:textId="6CDF3C71"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Подготовка пациента для катетеризации под ультразвуковым контролем схожа с традиционным подходом. Поскольку костная ткань ключицы у взрослых непроницаема для ультразвука, основная особенность катетеризации подключичной вены из подключичного доступа под контролем ультразвука заключается в том, что визуализацию и пункцию вены производят до перехода вены под ключицу. Пациента укладывают на спину, руки вдоль тела, голова повернута в противоположную сторону. Датчик ориентирует изображение подключичной вены по SAX во фронтальной плоскости. Маркировку направляют </w:t>
      </w:r>
      <w:proofErr w:type="spellStart"/>
      <w:r w:rsidRPr="00FF4D12">
        <w:rPr>
          <w:rFonts w:ascii="Times New Roman" w:eastAsia="Arial" w:hAnsi="Times New Roman" w:cs="Times New Roman"/>
          <w:sz w:val="28"/>
          <w:szCs w:val="28"/>
        </w:rPr>
        <w:t>ипсилатерально</w:t>
      </w:r>
      <w:proofErr w:type="spellEnd"/>
      <w:r w:rsidRPr="00FF4D12">
        <w:rPr>
          <w:rFonts w:ascii="Times New Roman" w:eastAsia="Arial" w:hAnsi="Times New Roman" w:cs="Times New Roman"/>
          <w:sz w:val="28"/>
          <w:szCs w:val="28"/>
        </w:rPr>
        <w:t xml:space="preserve">. Для облегчения поиска вены выполняют ее сканирование в поперечной плоскости от подмышечной впадины до перехода под ключицу. </w:t>
      </w:r>
    </w:p>
    <w:p w14:paraId="1BB64315" w14:textId="01F7793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Нужно иметь ввиду, что образование подключичной вены происходит при слиянии </w:t>
      </w:r>
      <w:proofErr w:type="spellStart"/>
      <w:r w:rsidRPr="00FF4D12">
        <w:rPr>
          <w:rFonts w:ascii="Times New Roman" w:eastAsia="Arial" w:hAnsi="Times New Roman" w:cs="Times New Roman"/>
          <w:sz w:val="28"/>
          <w:szCs w:val="28"/>
        </w:rPr>
        <w:t>v.axillaris</w:t>
      </w:r>
      <w:proofErr w:type="spellEnd"/>
      <w:r w:rsidRPr="00FF4D12">
        <w:rPr>
          <w:rFonts w:ascii="Times New Roman" w:eastAsia="Arial" w:hAnsi="Times New Roman" w:cs="Times New Roman"/>
          <w:sz w:val="28"/>
          <w:szCs w:val="28"/>
        </w:rPr>
        <w:t xml:space="preserve"> и v. </w:t>
      </w:r>
      <w:proofErr w:type="spellStart"/>
      <w:r w:rsidRPr="00FF4D12">
        <w:rPr>
          <w:rFonts w:ascii="Times New Roman" w:eastAsia="Arial" w:hAnsi="Times New Roman" w:cs="Times New Roman"/>
          <w:sz w:val="28"/>
          <w:szCs w:val="28"/>
        </w:rPr>
        <w:t>cephalica</w:t>
      </w:r>
      <w:proofErr w:type="spellEnd"/>
      <w:r w:rsidRPr="00FF4D12">
        <w:rPr>
          <w:rFonts w:ascii="Times New Roman" w:eastAsia="Arial" w:hAnsi="Times New Roman" w:cs="Times New Roman"/>
          <w:sz w:val="28"/>
          <w:szCs w:val="28"/>
        </w:rPr>
        <w:t xml:space="preserve">. Это слияние может происходить близко от перехода подключичной вены под ключицу. Пунктировать вену целесообразнее после слияния. </w:t>
      </w:r>
    </w:p>
    <w:p w14:paraId="0FCB0F84" w14:textId="1F97AC5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Оптимальным местом пункции является место перехода вены под ключицу. У астеничных людей плевральная полость может находиться в непосредственной близости от подключичной вены. Важно различать подключичную вену и подключичную артерию. Анатомически под ключицей сначала скрывается артерия, затем вена. Определению подключичной вены может способствовать умеренное надавливание датчиком или пальцем - вена будет сжиматься. Включение цветового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с наклоном латерально приведет к тому, что артериальный кровоток на экране будет отображаться синим (поток крови движется от датчика), в то время как венозный кровоток будет красным (поток крови движется к датчику). </w:t>
      </w:r>
    </w:p>
    <w:p w14:paraId="32F19662" w14:textId="5E57279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lastRenderedPageBreak/>
        <w:t xml:space="preserve">Пункцию вены производят по короткой оси. Появление крови в шприце свидетельствует о том, что игла попала в просвет внутренней яремной вены. </w:t>
      </w:r>
    </w:p>
    <w:p w14:paraId="4269DA25" w14:textId="4044987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Отделяют шприц от иглы и проводят катетеризацию вены по методу </w:t>
      </w:r>
      <w:proofErr w:type="spellStart"/>
      <w:r w:rsidRPr="00FF4D12">
        <w:rPr>
          <w:rFonts w:ascii="Times New Roman" w:eastAsia="Arial" w:hAnsi="Times New Roman" w:cs="Times New Roman"/>
          <w:sz w:val="28"/>
          <w:szCs w:val="28"/>
        </w:rPr>
        <w:t>Сельдингера</w:t>
      </w:r>
      <w:proofErr w:type="spellEnd"/>
      <w:r w:rsidRPr="00FF4D12">
        <w:rPr>
          <w:rFonts w:ascii="Times New Roman" w:eastAsia="Arial" w:hAnsi="Times New Roman" w:cs="Times New Roman"/>
          <w:sz w:val="28"/>
          <w:szCs w:val="28"/>
        </w:rPr>
        <w:t xml:space="preserve">. Целесообразно с помощью ультразвука убедиться в нахождении проводника в полости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14:paraId="5D85F4F6" w14:textId="01D5E290"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ультразвука для пункции и катетеризации подключичной вены в реальном времени у пациентов с низким риском осложнений не является обязательным </w:t>
      </w:r>
    </w:p>
    <w:p w14:paraId="510D3BAA" w14:textId="5DD0899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Пациентам с высоким риском осложнений, когда это возможно, рекомендуется использовать ультразвуковое исследование подключичной вены перед попыткой катетеризации и/или в выполнение катетеризации под ультразвуковым контролем в режиме реального времени. </w:t>
      </w:r>
    </w:p>
    <w:p w14:paraId="47F9665A" w14:textId="79304F45"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выполнении более чем двух неудачных попыток катетеризации подключичной вены, дальнейшие попытки необходимо проводить под ультразвуковым контролем. </w:t>
      </w:r>
    </w:p>
    <w:p w14:paraId="2CE55AC6" w14:textId="2B7C1C57" w:rsidR="2588CCB3" w:rsidRPr="00FF4D12" w:rsidRDefault="2588CCB3" w:rsidP="2588CCB3">
      <w:pPr>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Катетеризация бедренной вены</w:t>
      </w:r>
    </w:p>
    <w:p w14:paraId="3E6062E7" w14:textId="036F4DA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Общая бедренная артерия и бедренная вена лежат в пределах бедренного треугольника. Верхней границей этого треугольника является паховая связка, медиальная граница образована длинной приводящей мышцей и боковой границей является портняжная мышца. Важным ориентиром является пульсация бедренной артерии, так как общая бедренная вена обычно лежит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общей бедренной артерии в сосудистой лакуне бедренного треугольника. Это взаимоположение общей бедренной артерии и бедренной вены находится в непосредственной близости от паховой связки, но может произойти значительное перекрытие сосудов, особенно у детей. </w:t>
      </w:r>
    </w:p>
    <w:p w14:paraId="5684F562" w14:textId="05F3EB85"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Пациента укладывают на спину, бедро пациента находится либо в нейтральном положении, либо немного отводится и </w:t>
      </w:r>
      <w:proofErr w:type="spellStart"/>
      <w:r w:rsidRPr="00FF4D12">
        <w:rPr>
          <w:rFonts w:ascii="Times New Roman" w:eastAsia="Arial" w:hAnsi="Times New Roman" w:cs="Times New Roman"/>
          <w:sz w:val="28"/>
          <w:szCs w:val="28"/>
        </w:rPr>
        <w:t>ротируется</w:t>
      </w:r>
      <w:proofErr w:type="spellEnd"/>
      <w:r w:rsidRPr="00FF4D12">
        <w:rPr>
          <w:rFonts w:ascii="Times New Roman" w:eastAsia="Arial" w:hAnsi="Times New Roman" w:cs="Times New Roman"/>
          <w:sz w:val="28"/>
          <w:szCs w:val="28"/>
        </w:rPr>
        <w:t xml:space="preserve"> кнаружи. Отведение и внешняя ротация бедра увеличивают доступность общей бедренной вены от 70% до 83% у взрослых и увеличивает диаметр сосуда у детей по сравнению с укладкой ноги строго в срединном положении. Положение обратное положению </w:t>
      </w:r>
      <w:proofErr w:type="spellStart"/>
      <w:r w:rsidRPr="00FF4D12">
        <w:rPr>
          <w:rFonts w:ascii="Times New Roman" w:eastAsia="Arial" w:hAnsi="Times New Roman" w:cs="Times New Roman"/>
          <w:sz w:val="28"/>
          <w:szCs w:val="28"/>
        </w:rPr>
        <w:t>Тренделенбурга</w:t>
      </w:r>
      <w:proofErr w:type="spellEnd"/>
      <w:r w:rsidRPr="00FF4D12">
        <w:rPr>
          <w:rFonts w:ascii="Times New Roman" w:eastAsia="Arial" w:hAnsi="Times New Roman" w:cs="Times New Roman"/>
          <w:sz w:val="28"/>
          <w:szCs w:val="28"/>
        </w:rPr>
        <w:t xml:space="preserve"> увеличивает площадь поперечного сечения общей бедренной вены более чем на 50%. Поверхностным ориентиром для идентификации бедренной вены является </w:t>
      </w:r>
      <w:r w:rsidRPr="00FF4D12">
        <w:rPr>
          <w:rFonts w:ascii="Times New Roman" w:eastAsia="Arial" w:hAnsi="Times New Roman" w:cs="Times New Roman"/>
          <w:sz w:val="28"/>
          <w:szCs w:val="28"/>
        </w:rPr>
        <w:lastRenderedPageBreak/>
        <w:t xml:space="preserve">точка максимальной пульсации бедренной артерии на 1-2 см ниже середины паховой связки. </w:t>
      </w:r>
    </w:p>
    <w:p w14:paraId="1B43E711" w14:textId="79132DF3"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Датчик осуществляют визуализацию бедренных сосудов в поперечной плоскости. Определяется бедренная артерия и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бедренная вена. Катетеризацию чаще проводят по SAX, но возможен и разворот датчика в продольное сканирование и катетеризация по LAX. Ультразвуковое исследование бедренных сосудов показало, что взаимоотношение бедренных сосудов более постоянно, если катетеризация проводится максимально близко к паховой связке, </w:t>
      </w:r>
      <w:proofErr w:type="spellStart"/>
      <w:r w:rsidRPr="00FF4D12">
        <w:rPr>
          <w:rFonts w:ascii="Times New Roman" w:eastAsia="Arial" w:hAnsi="Times New Roman" w:cs="Times New Roman"/>
          <w:sz w:val="28"/>
          <w:szCs w:val="28"/>
        </w:rPr>
        <w:t>дистальнее</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вариабельность</w:t>
      </w:r>
      <w:proofErr w:type="spellEnd"/>
      <w:r w:rsidRPr="00FF4D12">
        <w:rPr>
          <w:rFonts w:ascii="Times New Roman" w:eastAsia="Arial" w:hAnsi="Times New Roman" w:cs="Times New Roman"/>
          <w:sz w:val="28"/>
          <w:szCs w:val="28"/>
        </w:rPr>
        <w:t xml:space="preserve"> нарастает. Катетеризация под ультразвуковым контролем бедренной артерии и бедренной вены снижает частоту развития осложнений, так как лучше определяются анатомические образования. </w:t>
      </w:r>
    </w:p>
    <w:p w14:paraId="39D1F6B7" w14:textId="21AF62B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Рекомендован статический метод использования ультразвука при катетеризации бедренной вены, когда это возможно, поскольку ультразвуковой осмотр перед катетеризацией приводит к снижению сосудистых осложнений. Данные о катетеризации бедренной вены под ультразвуковым контролем в режиме реального времени обладают недостаточными научными доказательствами для утверждения рекомендации </w:t>
      </w:r>
    </w:p>
    <w:p w14:paraId="53833FF7" w14:textId="30800798" w:rsidR="2588CCB3" w:rsidRPr="00FF4D12" w:rsidRDefault="2588CCB3" w:rsidP="2588CCB3">
      <w:pPr>
        <w:rPr>
          <w:rFonts w:ascii="Times New Roman" w:eastAsia="Arial" w:hAnsi="Times New Roman" w:cs="Times New Roman"/>
          <w:b/>
          <w:bCs/>
          <w:sz w:val="28"/>
          <w:szCs w:val="28"/>
          <w:u w:val="single"/>
        </w:rPr>
      </w:pPr>
      <w:r w:rsidRPr="00FF4D12">
        <w:rPr>
          <w:rFonts w:ascii="Times New Roman" w:eastAsia="Arial" w:hAnsi="Times New Roman" w:cs="Times New Roman"/>
          <w:b/>
          <w:bCs/>
          <w:sz w:val="28"/>
          <w:szCs w:val="28"/>
          <w:u w:val="single"/>
        </w:rPr>
        <w:t>Обеспечение стерильности при выполнении катетеризации сосудов под ультразвуковым контролем.</w:t>
      </w:r>
    </w:p>
    <w:p w14:paraId="15B9ED1B" w14:textId="650733C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выполнении манипуляции катетеризации сосудов необходимо подготовить место пункции согласно стандартным правилам асептики. Поскольку датчик ультразвукового аппарата устанавливается непосредственно в месте проведения пункции, то на него также распространяются правила асептики и антисептики. </w:t>
      </w:r>
    </w:p>
    <w:p w14:paraId="6503DF2E" w14:textId="05F84EBA" w:rsidR="2588CCB3"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Стерильность датчика обеспечивается одеванием на датчик специальных стерильных одноразовых чехлов. Как альтернативный вариант возможно использование стерильной перчатки для обеспечения асептического барьера. Необходимо помнить, что для обеспечения проведения ультразвука, в том случае, если стерильный чехол не обладает проводящим адгезивным слоем, требуется создание прослойки с помощью ультразвукового геля. Внутри чехла, со стороны датчика можно использовать нестерильный гель, но на поверхность кожи в зоне пункции - только стерильный. Как показывает практика, стерильный гель может быть заменен стерильным раствором. </w:t>
      </w:r>
    </w:p>
    <w:p w14:paraId="21F0E90C" w14:textId="77777777" w:rsidR="00FF4D12" w:rsidRPr="00FF4D12" w:rsidRDefault="00FF4D12" w:rsidP="2588CCB3">
      <w:pPr>
        <w:rPr>
          <w:rFonts w:ascii="Times New Roman" w:eastAsia="Arial" w:hAnsi="Times New Roman" w:cs="Times New Roman"/>
          <w:sz w:val="28"/>
          <w:szCs w:val="28"/>
        </w:rPr>
      </w:pPr>
    </w:p>
    <w:p w14:paraId="4FDF0D19" w14:textId="5AEB4DA3" w:rsidR="2588CCB3" w:rsidRPr="00FF4D12" w:rsidRDefault="2588CCB3" w:rsidP="2588CCB3">
      <w:pPr>
        <w:jc w:val="center"/>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lastRenderedPageBreak/>
        <w:t>Список литературы</w:t>
      </w:r>
      <w:r w:rsidRPr="00FF4D12">
        <w:rPr>
          <w:rFonts w:ascii="Times New Roman" w:eastAsia="Arial" w:hAnsi="Times New Roman" w:cs="Times New Roman"/>
          <w:b/>
          <w:bCs/>
          <w:color w:val="000000" w:themeColor="text1"/>
          <w:sz w:val="36"/>
          <w:szCs w:val="36"/>
        </w:rPr>
        <w:t xml:space="preserve"> </w:t>
      </w:r>
    </w:p>
    <w:p w14:paraId="556BA285" w14:textId="4E56C1F2" w:rsidR="2588CCB3" w:rsidRPr="00FF4D12" w:rsidRDefault="2588CCB3" w:rsidP="00FF4D12">
      <w:pPr>
        <w:pStyle w:val="a3"/>
        <w:numPr>
          <w:ilvl w:val="0"/>
          <w:numId w:val="9"/>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Клинические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рекомендации. Анестезиология-реаниматология.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Под ред. </w:t>
      </w:r>
      <w:proofErr w:type="spellStart"/>
      <w:r w:rsidRPr="00FF4D12">
        <w:rPr>
          <w:rFonts w:ascii="Times New Roman" w:eastAsia="Arial" w:hAnsi="Times New Roman" w:cs="Times New Roman"/>
          <w:sz w:val="28"/>
          <w:szCs w:val="28"/>
        </w:rPr>
        <w:t>Заболотских</w:t>
      </w:r>
      <w:proofErr w:type="spellEnd"/>
      <w:r w:rsidRPr="00FF4D12">
        <w:rPr>
          <w:rFonts w:ascii="Times New Roman" w:eastAsia="Arial" w:hAnsi="Times New Roman" w:cs="Times New Roman"/>
          <w:sz w:val="28"/>
          <w:szCs w:val="28"/>
        </w:rPr>
        <w:t xml:space="preserve"> И.Б., </w:t>
      </w:r>
      <w:proofErr w:type="spellStart"/>
      <w:r w:rsidRPr="00FF4D12">
        <w:rPr>
          <w:rFonts w:ascii="Times New Roman" w:eastAsia="Arial" w:hAnsi="Times New Roman" w:cs="Times New Roman"/>
          <w:sz w:val="28"/>
          <w:szCs w:val="28"/>
        </w:rPr>
        <w:t>Шифмана</w:t>
      </w:r>
      <w:proofErr w:type="spellEnd"/>
      <w:r w:rsidRPr="00FF4D12">
        <w:rPr>
          <w:rFonts w:ascii="Times New Roman" w:eastAsia="Arial" w:hAnsi="Times New Roman" w:cs="Times New Roman"/>
          <w:sz w:val="28"/>
          <w:szCs w:val="28"/>
        </w:rPr>
        <w:t xml:space="preserve"> 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М.: ГЭОТАР-Медиа, 2016;914-947. </w:t>
      </w:r>
      <w:r w:rsidRPr="00FF4D12">
        <w:rPr>
          <w:rFonts w:ascii="Times New Roman" w:hAnsi="Times New Roman" w:cs="Times New Roman"/>
          <w:sz w:val="28"/>
          <w:szCs w:val="28"/>
        </w:rPr>
        <w:tab/>
      </w:r>
    </w:p>
    <w:p w14:paraId="0F7C3A1F" w14:textId="4361BA4E" w:rsidR="2588CCB3" w:rsidRPr="00FF4D12" w:rsidRDefault="2588CCB3" w:rsidP="00FF4D12">
      <w:pPr>
        <w:pStyle w:val="a3"/>
        <w:numPr>
          <w:ilvl w:val="0"/>
          <w:numId w:val="8"/>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Сумин С.А., Шаповалов К.Г. и др.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Анестезиология-реаниматология: Учебник для подготовки кадров высшей квалификации: в 2 т. Т. I. Москва: ООО Издательство «МИА», 2018;525-534. </w:t>
      </w:r>
    </w:p>
    <w:p w14:paraId="2E90B6B4" w14:textId="50D3F141" w:rsidR="2588CCB3" w:rsidRPr="00FF4D12" w:rsidRDefault="2588CCB3" w:rsidP="00FF4D12">
      <w:pPr>
        <w:pStyle w:val="a3"/>
        <w:numPr>
          <w:ilvl w:val="0"/>
          <w:numId w:val="7"/>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Клинические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рекомендации. «Профилактика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катетер-ассоциированных инфекций кровотока и уход за центральным венозным катетером (ЦВК)» 2017; Национальная ассоциация специалистов по контролю инфекций, связанных с оказанием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медицинской помощи (НП «НАСКИ»); </w:t>
      </w:r>
      <w:r w:rsidRPr="00FF4D12">
        <w:rPr>
          <w:rFonts w:ascii="Times New Roman" w:hAnsi="Times New Roman" w:cs="Times New Roman"/>
          <w:sz w:val="28"/>
          <w:szCs w:val="28"/>
        </w:rPr>
        <w:tab/>
      </w:r>
    </w:p>
    <w:p w14:paraId="19A4EDDC" w14:textId="04A6EDEA" w:rsidR="2588CCB3" w:rsidRPr="00FF4D12" w:rsidRDefault="2588CCB3" w:rsidP="00FF4D12">
      <w:pPr>
        <w:pStyle w:val="a3"/>
        <w:numPr>
          <w:ilvl w:val="0"/>
          <w:numId w:val="6"/>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Межрегиональная общественная организации «Общество врачей и медицинских сестер «Сепсис Форум». Январь, 2018: 44.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47B307A1" w14:textId="2BC5D10E" w:rsidR="2588CCB3" w:rsidRPr="00FF4D12" w:rsidRDefault="2588CCB3" w:rsidP="00FF4D12">
      <w:pPr>
        <w:pStyle w:val="a3"/>
        <w:numPr>
          <w:ilvl w:val="0"/>
          <w:numId w:val="5"/>
        </w:numPr>
        <w:rPr>
          <w:rFonts w:ascii="Times New Roman" w:eastAsia="Arial" w:hAnsi="Times New Roman" w:cs="Times New Roman"/>
          <w:sz w:val="28"/>
          <w:szCs w:val="28"/>
        </w:rPr>
      </w:pPr>
      <w:proofErr w:type="spellStart"/>
      <w:r w:rsidRPr="00FF4D12">
        <w:rPr>
          <w:rFonts w:ascii="Times New Roman" w:eastAsia="Arial" w:hAnsi="Times New Roman" w:cs="Times New Roman"/>
          <w:sz w:val="28"/>
          <w:szCs w:val="28"/>
          <w:lang w:val="en-US"/>
        </w:rPr>
        <w:t>Frykholm</w:t>
      </w:r>
      <w:proofErr w:type="spellEnd"/>
      <w:r w:rsidRPr="00FF4D12">
        <w:rPr>
          <w:rFonts w:ascii="Times New Roman" w:eastAsia="Arial" w:hAnsi="Times New Roman" w:cs="Times New Roman"/>
          <w:sz w:val="28"/>
          <w:szCs w:val="28"/>
          <w:lang w:val="en-US"/>
        </w:rPr>
        <w:t xml:space="preserve"> P, </w:t>
      </w:r>
      <w:proofErr w:type="spellStart"/>
      <w:r w:rsidRPr="00FF4D12">
        <w:rPr>
          <w:rFonts w:ascii="Times New Roman" w:eastAsia="Arial" w:hAnsi="Times New Roman" w:cs="Times New Roman"/>
          <w:sz w:val="28"/>
          <w:szCs w:val="28"/>
          <w:lang w:val="en-US"/>
        </w:rPr>
        <w:t>Pikwer</w:t>
      </w:r>
      <w:proofErr w:type="spellEnd"/>
      <w:r w:rsidRPr="00FF4D12">
        <w:rPr>
          <w:rFonts w:ascii="Times New Roman" w:eastAsia="Arial" w:hAnsi="Times New Roman" w:cs="Times New Roman"/>
          <w:sz w:val="28"/>
          <w:szCs w:val="28"/>
          <w:lang w:val="en-US"/>
        </w:rPr>
        <w:t xml:space="preserve"> A, Hammarskjöld F, Larsson AT, Lindgren S, Lindwall R, et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al. </w:t>
      </w:r>
      <w:proofErr w:type="spellStart"/>
      <w:r w:rsidRPr="00FF4D12">
        <w:rPr>
          <w:rFonts w:ascii="Times New Roman" w:eastAsia="Arial" w:hAnsi="Times New Roman" w:cs="Times New Roman"/>
          <w:sz w:val="28"/>
          <w:szCs w:val="28"/>
        </w:rPr>
        <w:t>Clinical</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guidelines</w:t>
      </w:r>
      <w:proofErr w:type="spellEnd"/>
      <w:r w:rsidRPr="00FF4D12">
        <w:rPr>
          <w:rFonts w:ascii="Times New Roman" w:eastAsia="Arial" w:hAnsi="Times New Roman" w:cs="Times New Roman"/>
          <w:sz w:val="28"/>
          <w:szCs w:val="28"/>
        </w:rPr>
        <w:t xml:space="preserve"> on </w:t>
      </w:r>
      <w:proofErr w:type="spellStart"/>
      <w:r w:rsidRPr="00FF4D12">
        <w:rPr>
          <w:rFonts w:ascii="Times New Roman" w:eastAsia="Arial" w:hAnsi="Times New Roman" w:cs="Times New Roman"/>
          <w:sz w:val="28"/>
          <w:szCs w:val="28"/>
        </w:rPr>
        <w:t>central</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venous</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catheterisation</w:t>
      </w:r>
      <w:proofErr w:type="spellEnd"/>
      <w:r w:rsidRPr="00FF4D12">
        <w:rPr>
          <w:rFonts w:ascii="Times New Roman" w:eastAsia="Arial" w:hAnsi="Times New Roman" w:cs="Times New Roman"/>
          <w:sz w:val="28"/>
          <w:szCs w:val="28"/>
        </w:rPr>
        <w:t xml:space="preserve">. </w:t>
      </w:r>
      <w:r w:rsidRPr="00FF4D12">
        <w:rPr>
          <w:rFonts w:ascii="Times New Roman" w:eastAsia="Arial" w:hAnsi="Times New Roman" w:cs="Times New Roman"/>
          <w:sz w:val="28"/>
          <w:szCs w:val="28"/>
          <w:lang w:val="en-US"/>
        </w:rPr>
        <w:t xml:space="preserve">Swedish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Society of </w:t>
      </w:r>
      <w:proofErr w:type="spellStart"/>
      <w:r w:rsidRPr="00FF4D12">
        <w:rPr>
          <w:rFonts w:ascii="Times New Roman" w:eastAsia="Arial" w:hAnsi="Times New Roman" w:cs="Times New Roman"/>
          <w:sz w:val="28"/>
          <w:szCs w:val="28"/>
          <w:lang w:val="en-US"/>
        </w:rPr>
        <w:t>Anaesthesiology</w:t>
      </w:r>
      <w:proofErr w:type="spellEnd"/>
      <w:r w:rsidRPr="00FF4D12">
        <w:rPr>
          <w:rFonts w:ascii="Times New Roman" w:eastAsia="Arial" w:hAnsi="Times New Roman" w:cs="Times New Roman"/>
          <w:sz w:val="28"/>
          <w:szCs w:val="28"/>
          <w:lang w:val="en-US"/>
        </w:rPr>
        <w:t xml:space="preserve"> and Intensive Care Medicine. </w:t>
      </w:r>
      <w:proofErr w:type="spellStart"/>
      <w:r w:rsidRPr="00FF4D12">
        <w:rPr>
          <w:rFonts w:ascii="Times New Roman" w:eastAsia="Arial" w:hAnsi="Times New Roman" w:cs="Times New Roman"/>
          <w:sz w:val="28"/>
          <w:szCs w:val="28"/>
          <w:lang w:val="en-US"/>
        </w:rPr>
        <w:t>Acta</w:t>
      </w:r>
      <w:proofErr w:type="spellEnd"/>
      <w:r w:rsidRPr="00FF4D12">
        <w:rPr>
          <w:rFonts w:ascii="Times New Roman" w:eastAsia="Arial" w:hAnsi="Times New Roman" w:cs="Times New Roman"/>
          <w:sz w:val="28"/>
          <w:szCs w:val="28"/>
          <w:lang w:val="en-US"/>
        </w:rPr>
        <w:t xml:space="preserve"> </w:t>
      </w:r>
      <w:proofErr w:type="spellStart"/>
      <w:r w:rsidRPr="00FF4D12">
        <w:rPr>
          <w:rFonts w:ascii="Times New Roman" w:eastAsia="Arial" w:hAnsi="Times New Roman" w:cs="Times New Roman"/>
          <w:sz w:val="28"/>
          <w:szCs w:val="28"/>
          <w:lang w:val="en-US"/>
        </w:rPr>
        <w:t>Anaesthesiol</w:t>
      </w:r>
      <w:proofErr w:type="spellEnd"/>
      <w:r w:rsidRPr="00FF4D12">
        <w:rPr>
          <w:rFonts w:ascii="Times New Roman" w:eastAsia="Arial" w:hAnsi="Times New Roman" w:cs="Times New Roman"/>
          <w:sz w:val="28"/>
          <w:szCs w:val="28"/>
          <w:lang w:val="en-US"/>
        </w:rPr>
        <w:t xml:space="preserve"> </w:t>
      </w:r>
      <w:proofErr w:type="spellStart"/>
      <w:r w:rsidRPr="00FF4D12">
        <w:rPr>
          <w:rFonts w:ascii="Times New Roman" w:eastAsia="Arial" w:hAnsi="Times New Roman" w:cs="Times New Roman"/>
          <w:sz w:val="28"/>
          <w:szCs w:val="28"/>
          <w:lang w:val="en-US"/>
        </w:rPr>
        <w:t>Scand</w:t>
      </w:r>
      <w:proofErr w:type="spellEnd"/>
      <w:r w:rsidRPr="00FF4D12">
        <w:rPr>
          <w:rFonts w:ascii="Times New Roman" w:eastAsia="Arial" w:hAnsi="Times New Roman" w:cs="Times New Roman"/>
          <w:sz w:val="28"/>
          <w:szCs w:val="28"/>
          <w:lang w:val="en-US"/>
        </w:rPr>
        <w:t xml:space="preserve">. </w:t>
      </w:r>
      <w:r w:rsidRPr="00FF4D12">
        <w:rPr>
          <w:rFonts w:ascii="Times New Roman" w:eastAsia="Arial" w:hAnsi="Times New Roman" w:cs="Times New Roman"/>
          <w:sz w:val="28"/>
          <w:szCs w:val="28"/>
        </w:rPr>
        <w:t xml:space="preserve">2014;58:508-524.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601A3A88" w14:textId="5D7E827C" w:rsidR="2588CCB3" w:rsidRPr="00FF4D12" w:rsidRDefault="2588CCB3" w:rsidP="00FF4D12">
      <w:pPr>
        <w:pStyle w:val="a3"/>
        <w:numPr>
          <w:ilvl w:val="0"/>
          <w:numId w:val="4"/>
        </w:numPr>
        <w:rPr>
          <w:rFonts w:ascii="Times New Roman" w:eastAsia="Arial" w:hAnsi="Times New Roman" w:cs="Times New Roman"/>
          <w:sz w:val="28"/>
          <w:szCs w:val="28"/>
          <w:lang w:val="en-US"/>
        </w:rPr>
      </w:pPr>
      <w:proofErr w:type="spellStart"/>
      <w:r w:rsidRPr="00FF4D12">
        <w:rPr>
          <w:rFonts w:ascii="Times New Roman" w:eastAsia="Arial" w:hAnsi="Times New Roman" w:cs="Times New Roman"/>
          <w:sz w:val="28"/>
          <w:szCs w:val="28"/>
          <w:lang w:val="en-US"/>
        </w:rPr>
        <w:t>Parienti</w:t>
      </w:r>
      <w:proofErr w:type="spellEnd"/>
      <w:r w:rsidRPr="00FF4D12">
        <w:rPr>
          <w:rFonts w:ascii="Times New Roman" w:eastAsia="Arial" w:hAnsi="Times New Roman" w:cs="Times New Roman"/>
          <w:sz w:val="28"/>
          <w:szCs w:val="28"/>
          <w:lang w:val="en-US"/>
        </w:rPr>
        <w:t xml:space="preserve"> JJ, </w:t>
      </w:r>
      <w:proofErr w:type="spellStart"/>
      <w:r w:rsidRPr="00FF4D12">
        <w:rPr>
          <w:rFonts w:ascii="Times New Roman" w:eastAsia="Arial" w:hAnsi="Times New Roman" w:cs="Times New Roman"/>
          <w:sz w:val="28"/>
          <w:szCs w:val="28"/>
          <w:lang w:val="en-US"/>
        </w:rPr>
        <w:t>Mongardon</w:t>
      </w:r>
      <w:proofErr w:type="spellEnd"/>
      <w:r w:rsidRPr="00FF4D12">
        <w:rPr>
          <w:rFonts w:ascii="Times New Roman" w:eastAsia="Arial" w:hAnsi="Times New Roman" w:cs="Times New Roman"/>
          <w:sz w:val="28"/>
          <w:szCs w:val="28"/>
          <w:lang w:val="en-US"/>
        </w:rPr>
        <w:t xml:space="preserve"> N, </w:t>
      </w:r>
      <w:proofErr w:type="spellStart"/>
      <w:r w:rsidRPr="00FF4D12">
        <w:rPr>
          <w:rFonts w:ascii="Times New Roman" w:eastAsia="Arial" w:hAnsi="Times New Roman" w:cs="Times New Roman"/>
          <w:sz w:val="28"/>
          <w:szCs w:val="28"/>
          <w:lang w:val="en-US"/>
        </w:rPr>
        <w:t>Mégarbane</w:t>
      </w:r>
      <w:proofErr w:type="spellEnd"/>
      <w:r w:rsidRPr="00FF4D12">
        <w:rPr>
          <w:rFonts w:ascii="Times New Roman" w:eastAsia="Arial" w:hAnsi="Times New Roman" w:cs="Times New Roman"/>
          <w:sz w:val="28"/>
          <w:szCs w:val="28"/>
          <w:lang w:val="en-US"/>
        </w:rPr>
        <w:t xml:space="preserve"> B, Mira JP, </w:t>
      </w:r>
      <w:proofErr w:type="spellStart"/>
      <w:r w:rsidRPr="00FF4D12">
        <w:rPr>
          <w:rFonts w:ascii="Times New Roman" w:eastAsia="Arial" w:hAnsi="Times New Roman" w:cs="Times New Roman"/>
          <w:sz w:val="28"/>
          <w:szCs w:val="28"/>
          <w:lang w:val="en-US"/>
        </w:rPr>
        <w:t>Kalfon</w:t>
      </w:r>
      <w:proofErr w:type="spellEnd"/>
      <w:r w:rsidRPr="00FF4D12">
        <w:rPr>
          <w:rFonts w:ascii="Times New Roman" w:eastAsia="Arial" w:hAnsi="Times New Roman" w:cs="Times New Roman"/>
          <w:sz w:val="28"/>
          <w:szCs w:val="28"/>
          <w:lang w:val="en-US"/>
        </w:rPr>
        <w:t xml:space="preserve"> P, </w:t>
      </w:r>
      <w:proofErr w:type="spellStart"/>
      <w:r w:rsidRPr="00FF4D12">
        <w:rPr>
          <w:rFonts w:ascii="Times New Roman" w:eastAsia="Arial" w:hAnsi="Times New Roman" w:cs="Times New Roman"/>
          <w:sz w:val="28"/>
          <w:szCs w:val="28"/>
          <w:lang w:val="en-US"/>
        </w:rPr>
        <w:t>Gros</w:t>
      </w:r>
      <w:proofErr w:type="spellEnd"/>
      <w:r w:rsidRPr="00FF4D12">
        <w:rPr>
          <w:rFonts w:ascii="Times New Roman" w:eastAsia="Arial" w:hAnsi="Times New Roman" w:cs="Times New Roman"/>
          <w:sz w:val="28"/>
          <w:szCs w:val="28"/>
          <w:lang w:val="en-US"/>
        </w:rPr>
        <w:t xml:space="preserve"> A, et al.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3SITES Study Group. Intravascular Complications of Central Venous Catheterization by Insertion Site. N </w:t>
      </w:r>
      <w:proofErr w:type="spellStart"/>
      <w:r w:rsidRPr="00FF4D12">
        <w:rPr>
          <w:rFonts w:ascii="Times New Roman" w:eastAsia="Arial" w:hAnsi="Times New Roman" w:cs="Times New Roman"/>
          <w:sz w:val="28"/>
          <w:szCs w:val="28"/>
          <w:lang w:val="en-US"/>
        </w:rPr>
        <w:t>Engl</w:t>
      </w:r>
      <w:proofErr w:type="spellEnd"/>
      <w:r w:rsidRPr="00FF4D12">
        <w:rPr>
          <w:rFonts w:ascii="Times New Roman" w:eastAsia="Arial" w:hAnsi="Times New Roman" w:cs="Times New Roman"/>
          <w:sz w:val="28"/>
          <w:szCs w:val="28"/>
          <w:lang w:val="en-US"/>
        </w:rPr>
        <w:t xml:space="preserve"> J Med. 2015;373:1220-1229. </w:t>
      </w:r>
      <w:r w:rsidRPr="00FF4D12">
        <w:rPr>
          <w:rFonts w:ascii="Times New Roman" w:hAnsi="Times New Roman" w:cs="Times New Roman"/>
          <w:sz w:val="28"/>
          <w:szCs w:val="28"/>
        </w:rPr>
        <w:tab/>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15CEE53C" w14:textId="6E458272" w:rsidR="2588CCB3" w:rsidRPr="00FF4D12" w:rsidRDefault="2588CCB3" w:rsidP="00FF4D12">
      <w:pPr>
        <w:pStyle w:val="a3"/>
        <w:numPr>
          <w:ilvl w:val="0"/>
          <w:numId w:val="4"/>
        </w:numPr>
        <w:rPr>
          <w:rFonts w:ascii="Times New Roman" w:eastAsia="Arial" w:hAnsi="Times New Roman" w:cs="Times New Roman"/>
          <w:sz w:val="28"/>
          <w:szCs w:val="28"/>
          <w:lang w:val="en-US"/>
        </w:rPr>
      </w:pPr>
      <w:proofErr w:type="spellStart"/>
      <w:r w:rsidRPr="00FF4D12">
        <w:rPr>
          <w:rFonts w:ascii="Times New Roman" w:eastAsia="Arial" w:hAnsi="Times New Roman" w:cs="Times New Roman"/>
          <w:sz w:val="28"/>
          <w:szCs w:val="28"/>
          <w:lang w:val="en-US"/>
        </w:rPr>
        <w:t>Bodenham</w:t>
      </w:r>
      <w:proofErr w:type="spellEnd"/>
      <w:r w:rsidRPr="00FF4D12">
        <w:rPr>
          <w:rFonts w:ascii="Times New Roman" w:eastAsia="Arial" w:hAnsi="Times New Roman" w:cs="Times New Roman"/>
          <w:sz w:val="28"/>
          <w:szCs w:val="28"/>
          <w:lang w:val="en-US"/>
        </w:rPr>
        <w:t xml:space="preserve"> A, Babu S, Bennett J, </w:t>
      </w:r>
      <w:proofErr w:type="spellStart"/>
      <w:r w:rsidRPr="00FF4D12">
        <w:rPr>
          <w:rFonts w:ascii="Times New Roman" w:eastAsia="Arial" w:hAnsi="Times New Roman" w:cs="Times New Roman"/>
          <w:sz w:val="28"/>
          <w:szCs w:val="28"/>
          <w:lang w:val="en-US"/>
        </w:rPr>
        <w:t>Binks</w:t>
      </w:r>
      <w:proofErr w:type="spellEnd"/>
      <w:r w:rsidRPr="00FF4D12">
        <w:rPr>
          <w:rFonts w:ascii="Times New Roman" w:eastAsia="Arial" w:hAnsi="Times New Roman" w:cs="Times New Roman"/>
          <w:sz w:val="28"/>
          <w:szCs w:val="28"/>
          <w:lang w:val="en-US"/>
        </w:rPr>
        <w:t xml:space="preserve"> R, Fee P, Fox B, et al. Association of </w:t>
      </w:r>
      <w:r w:rsidRPr="00FF4D12">
        <w:rPr>
          <w:rFonts w:ascii="Times New Roman" w:hAnsi="Times New Roman" w:cs="Times New Roman"/>
          <w:sz w:val="28"/>
          <w:szCs w:val="28"/>
          <w:lang w:val="en-US"/>
        </w:rPr>
        <w:tab/>
      </w:r>
      <w:proofErr w:type="spellStart"/>
      <w:r w:rsidRPr="00FF4D12">
        <w:rPr>
          <w:rFonts w:ascii="Times New Roman" w:eastAsia="Arial" w:hAnsi="Times New Roman" w:cs="Times New Roman"/>
          <w:sz w:val="28"/>
          <w:szCs w:val="28"/>
          <w:lang w:val="en-US"/>
        </w:rPr>
        <w:t>Anaesthetists</w:t>
      </w:r>
      <w:proofErr w:type="spellEnd"/>
      <w:r w:rsidRPr="00FF4D12">
        <w:rPr>
          <w:rFonts w:ascii="Times New Roman" w:eastAsia="Arial" w:hAnsi="Times New Roman" w:cs="Times New Roman"/>
          <w:sz w:val="28"/>
          <w:szCs w:val="28"/>
          <w:lang w:val="en-US"/>
        </w:rPr>
        <w:t xml:space="preserve"> of Great Britain and Ireland: Safe vascular access 2016. </w:t>
      </w:r>
      <w:proofErr w:type="spellStart"/>
      <w:r w:rsidRPr="00FF4D12">
        <w:rPr>
          <w:rFonts w:ascii="Times New Roman" w:eastAsia="Arial" w:hAnsi="Times New Roman" w:cs="Times New Roman"/>
          <w:sz w:val="28"/>
          <w:szCs w:val="28"/>
          <w:lang w:val="en-US"/>
        </w:rPr>
        <w:t>Anaesthesia</w:t>
      </w:r>
      <w:proofErr w:type="spellEnd"/>
      <w:r w:rsidRPr="00FF4D12">
        <w:rPr>
          <w:rFonts w:ascii="Times New Roman" w:eastAsia="Arial" w:hAnsi="Times New Roman" w:cs="Times New Roman"/>
          <w:sz w:val="28"/>
          <w:szCs w:val="28"/>
          <w:lang w:val="en-US"/>
        </w:rPr>
        <w:t>. 2016;71:573-585.</w:t>
      </w:r>
    </w:p>
    <w:p w14:paraId="1E1A0C1A" w14:textId="1E822A8A" w:rsidR="2588CCB3" w:rsidRPr="00FF4D12" w:rsidRDefault="2588CCB3" w:rsidP="00FF4D12">
      <w:pPr>
        <w:pStyle w:val="a3"/>
        <w:numPr>
          <w:ilvl w:val="0"/>
          <w:numId w:val="4"/>
        </w:numPr>
        <w:rPr>
          <w:rFonts w:ascii="Times New Roman" w:eastAsia="Arial" w:hAnsi="Times New Roman" w:cs="Times New Roman"/>
          <w:sz w:val="28"/>
          <w:szCs w:val="28"/>
          <w:lang w:val="en-US"/>
        </w:rPr>
      </w:pPr>
      <w:r w:rsidRPr="00FF4D12">
        <w:rPr>
          <w:rFonts w:ascii="Times New Roman" w:eastAsia="Arial" w:hAnsi="Times New Roman" w:cs="Times New Roman"/>
          <w:sz w:val="28"/>
          <w:szCs w:val="28"/>
          <w:lang w:val="en-US"/>
        </w:rPr>
        <w:t xml:space="preserve">Brass P, </w:t>
      </w:r>
      <w:proofErr w:type="spellStart"/>
      <w:r w:rsidRPr="00FF4D12">
        <w:rPr>
          <w:rFonts w:ascii="Times New Roman" w:eastAsia="Arial" w:hAnsi="Times New Roman" w:cs="Times New Roman"/>
          <w:sz w:val="28"/>
          <w:szCs w:val="28"/>
          <w:lang w:val="en-US"/>
        </w:rPr>
        <w:t>Hellmich</w:t>
      </w:r>
      <w:proofErr w:type="spellEnd"/>
      <w:r w:rsidRPr="00FF4D12">
        <w:rPr>
          <w:rFonts w:ascii="Times New Roman" w:eastAsia="Arial" w:hAnsi="Times New Roman" w:cs="Times New Roman"/>
          <w:sz w:val="28"/>
          <w:szCs w:val="28"/>
          <w:lang w:val="en-US"/>
        </w:rPr>
        <w:t xml:space="preserve"> M, </w:t>
      </w:r>
      <w:proofErr w:type="spellStart"/>
      <w:r w:rsidRPr="00FF4D12">
        <w:rPr>
          <w:rFonts w:ascii="Times New Roman" w:eastAsia="Arial" w:hAnsi="Times New Roman" w:cs="Times New Roman"/>
          <w:sz w:val="28"/>
          <w:szCs w:val="28"/>
          <w:lang w:val="en-US"/>
        </w:rPr>
        <w:t>Kolodziej</w:t>
      </w:r>
      <w:proofErr w:type="spellEnd"/>
      <w:r w:rsidRPr="00FF4D12">
        <w:rPr>
          <w:rFonts w:ascii="Times New Roman" w:eastAsia="Arial" w:hAnsi="Times New Roman" w:cs="Times New Roman"/>
          <w:sz w:val="28"/>
          <w:szCs w:val="28"/>
          <w:lang w:val="en-US"/>
        </w:rPr>
        <w:t xml:space="preserve"> L, Schick G, Smith AF. Ultrasound guidance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versus anatomical landmarks for internal jugular vein catheterization. </w:t>
      </w:r>
      <w:r w:rsidRPr="00FF4D12">
        <w:rPr>
          <w:rFonts w:ascii="Times New Roman" w:hAnsi="Times New Roman" w:cs="Times New Roman"/>
          <w:sz w:val="28"/>
          <w:szCs w:val="28"/>
          <w:lang w:val="en-US"/>
        </w:rPr>
        <w:tab/>
      </w:r>
    </w:p>
    <w:p w14:paraId="35965A60" w14:textId="6B57F818" w:rsidR="2588CCB3" w:rsidRPr="00FF4D12" w:rsidRDefault="2588CCB3" w:rsidP="00FF4D12">
      <w:pPr>
        <w:pStyle w:val="a3"/>
        <w:numPr>
          <w:ilvl w:val="0"/>
          <w:numId w:val="4"/>
        </w:numPr>
        <w:rPr>
          <w:rFonts w:ascii="Times New Roman" w:eastAsia="Arial" w:hAnsi="Times New Roman" w:cs="Times New Roman"/>
          <w:sz w:val="28"/>
          <w:szCs w:val="28"/>
        </w:rPr>
      </w:pPr>
      <w:r w:rsidRPr="00FF4D12">
        <w:rPr>
          <w:rFonts w:ascii="Times New Roman" w:eastAsia="Arial" w:hAnsi="Times New Roman" w:cs="Times New Roman"/>
          <w:sz w:val="28"/>
          <w:szCs w:val="28"/>
          <w:lang w:val="en-US"/>
        </w:rPr>
        <w:t xml:space="preserve">Cochrane Database of Systematic Reviews. </w:t>
      </w:r>
      <w:r w:rsidRPr="00FF4D12">
        <w:rPr>
          <w:rFonts w:ascii="Times New Roman" w:eastAsia="Arial" w:hAnsi="Times New Roman" w:cs="Times New Roman"/>
          <w:sz w:val="28"/>
          <w:szCs w:val="28"/>
        </w:rPr>
        <w:t>2015;1:CD006962.</w:t>
      </w:r>
    </w:p>
    <w:p w14:paraId="3B0CB0D7" w14:textId="7D366B4F" w:rsidR="2588CCB3" w:rsidRPr="00FF4D12" w:rsidRDefault="2588CCB3" w:rsidP="2588CCB3">
      <w:pPr>
        <w:jc w:val="center"/>
        <w:rPr>
          <w:rFonts w:ascii="Times New Roman" w:eastAsia="Arial" w:hAnsi="Times New Roman" w:cs="Times New Roman"/>
          <w:sz w:val="28"/>
          <w:szCs w:val="28"/>
        </w:rPr>
      </w:pPr>
    </w:p>
    <w:sectPr w:rsidR="2588CCB3" w:rsidRPr="00FF4D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1AE3"/>
    <w:multiLevelType w:val="hybridMultilevel"/>
    <w:tmpl w:val="BF7471DA"/>
    <w:lvl w:ilvl="0" w:tplc="4FA6EEC2">
      <w:start w:val="1"/>
      <w:numFmt w:val="bullet"/>
      <w:lvlText w:val="-"/>
      <w:lvlJc w:val="left"/>
      <w:pPr>
        <w:ind w:left="720" w:hanging="360"/>
      </w:pPr>
      <w:rPr>
        <w:rFonts w:ascii="Calibri" w:hAnsi="Calibri" w:hint="default"/>
      </w:rPr>
    </w:lvl>
    <w:lvl w:ilvl="1" w:tplc="2996E9BE">
      <w:start w:val="1"/>
      <w:numFmt w:val="bullet"/>
      <w:lvlText w:val="o"/>
      <w:lvlJc w:val="left"/>
      <w:pPr>
        <w:ind w:left="1440" w:hanging="360"/>
      </w:pPr>
      <w:rPr>
        <w:rFonts w:ascii="Courier New" w:hAnsi="Courier New" w:hint="default"/>
      </w:rPr>
    </w:lvl>
    <w:lvl w:ilvl="2" w:tplc="DB502BBC">
      <w:start w:val="1"/>
      <w:numFmt w:val="bullet"/>
      <w:lvlText w:val=""/>
      <w:lvlJc w:val="left"/>
      <w:pPr>
        <w:ind w:left="2160" w:hanging="360"/>
      </w:pPr>
      <w:rPr>
        <w:rFonts w:ascii="Wingdings" w:hAnsi="Wingdings" w:hint="default"/>
      </w:rPr>
    </w:lvl>
    <w:lvl w:ilvl="3" w:tplc="3A36A964">
      <w:start w:val="1"/>
      <w:numFmt w:val="bullet"/>
      <w:lvlText w:val=""/>
      <w:lvlJc w:val="left"/>
      <w:pPr>
        <w:ind w:left="2880" w:hanging="360"/>
      </w:pPr>
      <w:rPr>
        <w:rFonts w:ascii="Symbol" w:hAnsi="Symbol" w:hint="default"/>
      </w:rPr>
    </w:lvl>
    <w:lvl w:ilvl="4" w:tplc="E57C89C4">
      <w:start w:val="1"/>
      <w:numFmt w:val="bullet"/>
      <w:lvlText w:val="o"/>
      <w:lvlJc w:val="left"/>
      <w:pPr>
        <w:ind w:left="3600" w:hanging="360"/>
      </w:pPr>
      <w:rPr>
        <w:rFonts w:ascii="Courier New" w:hAnsi="Courier New" w:hint="default"/>
      </w:rPr>
    </w:lvl>
    <w:lvl w:ilvl="5" w:tplc="BACCB646">
      <w:start w:val="1"/>
      <w:numFmt w:val="bullet"/>
      <w:lvlText w:val=""/>
      <w:lvlJc w:val="left"/>
      <w:pPr>
        <w:ind w:left="4320" w:hanging="360"/>
      </w:pPr>
      <w:rPr>
        <w:rFonts w:ascii="Wingdings" w:hAnsi="Wingdings" w:hint="default"/>
      </w:rPr>
    </w:lvl>
    <w:lvl w:ilvl="6" w:tplc="0CE2AB90">
      <w:start w:val="1"/>
      <w:numFmt w:val="bullet"/>
      <w:lvlText w:val=""/>
      <w:lvlJc w:val="left"/>
      <w:pPr>
        <w:ind w:left="5040" w:hanging="360"/>
      </w:pPr>
      <w:rPr>
        <w:rFonts w:ascii="Symbol" w:hAnsi="Symbol" w:hint="default"/>
      </w:rPr>
    </w:lvl>
    <w:lvl w:ilvl="7" w:tplc="674EA17A">
      <w:start w:val="1"/>
      <w:numFmt w:val="bullet"/>
      <w:lvlText w:val="o"/>
      <w:lvlJc w:val="left"/>
      <w:pPr>
        <w:ind w:left="5760" w:hanging="360"/>
      </w:pPr>
      <w:rPr>
        <w:rFonts w:ascii="Courier New" w:hAnsi="Courier New" w:hint="default"/>
      </w:rPr>
    </w:lvl>
    <w:lvl w:ilvl="8" w:tplc="77FC8A16">
      <w:start w:val="1"/>
      <w:numFmt w:val="bullet"/>
      <w:lvlText w:val=""/>
      <w:lvlJc w:val="left"/>
      <w:pPr>
        <w:ind w:left="6480" w:hanging="360"/>
      </w:pPr>
      <w:rPr>
        <w:rFonts w:ascii="Wingdings" w:hAnsi="Wingdings" w:hint="default"/>
      </w:rPr>
    </w:lvl>
  </w:abstractNum>
  <w:abstractNum w:abstractNumId="1" w15:restartNumberingAfterBreak="0">
    <w:nsid w:val="1BEA96AC"/>
    <w:multiLevelType w:val="hybridMultilevel"/>
    <w:tmpl w:val="E1F866CC"/>
    <w:lvl w:ilvl="0" w:tplc="023E4F64">
      <w:start w:val="1"/>
      <w:numFmt w:val="bullet"/>
      <w:lvlText w:val="-"/>
      <w:lvlJc w:val="left"/>
      <w:pPr>
        <w:ind w:left="720" w:hanging="360"/>
      </w:pPr>
      <w:rPr>
        <w:rFonts w:ascii="Calibri" w:hAnsi="Calibri" w:hint="default"/>
      </w:rPr>
    </w:lvl>
    <w:lvl w:ilvl="1" w:tplc="406AB828">
      <w:start w:val="1"/>
      <w:numFmt w:val="bullet"/>
      <w:lvlText w:val="o"/>
      <w:lvlJc w:val="left"/>
      <w:pPr>
        <w:ind w:left="1440" w:hanging="360"/>
      </w:pPr>
      <w:rPr>
        <w:rFonts w:ascii="Courier New" w:hAnsi="Courier New" w:hint="default"/>
      </w:rPr>
    </w:lvl>
    <w:lvl w:ilvl="2" w:tplc="5E7A071E">
      <w:start w:val="1"/>
      <w:numFmt w:val="bullet"/>
      <w:lvlText w:val=""/>
      <w:lvlJc w:val="left"/>
      <w:pPr>
        <w:ind w:left="2160" w:hanging="360"/>
      </w:pPr>
      <w:rPr>
        <w:rFonts w:ascii="Wingdings" w:hAnsi="Wingdings" w:hint="default"/>
      </w:rPr>
    </w:lvl>
    <w:lvl w:ilvl="3" w:tplc="4DAE89C0">
      <w:start w:val="1"/>
      <w:numFmt w:val="bullet"/>
      <w:lvlText w:val=""/>
      <w:lvlJc w:val="left"/>
      <w:pPr>
        <w:ind w:left="2880" w:hanging="360"/>
      </w:pPr>
      <w:rPr>
        <w:rFonts w:ascii="Symbol" w:hAnsi="Symbol" w:hint="default"/>
      </w:rPr>
    </w:lvl>
    <w:lvl w:ilvl="4" w:tplc="107CAA20">
      <w:start w:val="1"/>
      <w:numFmt w:val="bullet"/>
      <w:lvlText w:val="o"/>
      <w:lvlJc w:val="left"/>
      <w:pPr>
        <w:ind w:left="3600" w:hanging="360"/>
      </w:pPr>
      <w:rPr>
        <w:rFonts w:ascii="Courier New" w:hAnsi="Courier New" w:hint="default"/>
      </w:rPr>
    </w:lvl>
    <w:lvl w:ilvl="5" w:tplc="20385AFC">
      <w:start w:val="1"/>
      <w:numFmt w:val="bullet"/>
      <w:lvlText w:val=""/>
      <w:lvlJc w:val="left"/>
      <w:pPr>
        <w:ind w:left="4320" w:hanging="360"/>
      </w:pPr>
      <w:rPr>
        <w:rFonts w:ascii="Wingdings" w:hAnsi="Wingdings" w:hint="default"/>
      </w:rPr>
    </w:lvl>
    <w:lvl w:ilvl="6" w:tplc="D78CAA4C">
      <w:start w:val="1"/>
      <w:numFmt w:val="bullet"/>
      <w:lvlText w:val=""/>
      <w:lvlJc w:val="left"/>
      <w:pPr>
        <w:ind w:left="5040" w:hanging="360"/>
      </w:pPr>
      <w:rPr>
        <w:rFonts w:ascii="Symbol" w:hAnsi="Symbol" w:hint="default"/>
      </w:rPr>
    </w:lvl>
    <w:lvl w:ilvl="7" w:tplc="D8363C30">
      <w:start w:val="1"/>
      <w:numFmt w:val="bullet"/>
      <w:lvlText w:val="o"/>
      <w:lvlJc w:val="left"/>
      <w:pPr>
        <w:ind w:left="5760" w:hanging="360"/>
      </w:pPr>
      <w:rPr>
        <w:rFonts w:ascii="Courier New" w:hAnsi="Courier New" w:hint="default"/>
      </w:rPr>
    </w:lvl>
    <w:lvl w:ilvl="8" w:tplc="58DC452A">
      <w:start w:val="1"/>
      <w:numFmt w:val="bullet"/>
      <w:lvlText w:val=""/>
      <w:lvlJc w:val="left"/>
      <w:pPr>
        <w:ind w:left="6480" w:hanging="360"/>
      </w:pPr>
      <w:rPr>
        <w:rFonts w:ascii="Wingdings" w:hAnsi="Wingdings" w:hint="default"/>
      </w:rPr>
    </w:lvl>
  </w:abstractNum>
  <w:abstractNum w:abstractNumId="2" w15:restartNumberingAfterBreak="0">
    <w:nsid w:val="242903F0"/>
    <w:multiLevelType w:val="hybridMultilevel"/>
    <w:tmpl w:val="7FB85960"/>
    <w:lvl w:ilvl="0" w:tplc="129892A6">
      <w:start w:val="1"/>
      <w:numFmt w:val="bullet"/>
      <w:lvlText w:val=""/>
      <w:lvlJc w:val="left"/>
      <w:pPr>
        <w:ind w:left="720" w:hanging="360"/>
      </w:pPr>
      <w:rPr>
        <w:rFonts w:ascii="Symbol" w:hAnsi="Symbol" w:hint="default"/>
      </w:rPr>
    </w:lvl>
    <w:lvl w:ilvl="1" w:tplc="762AB4EC">
      <w:start w:val="1"/>
      <w:numFmt w:val="bullet"/>
      <w:lvlText w:val="o"/>
      <w:lvlJc w:val="left"/>
      <w:pPr>
        <w:ind w:left="1440" w:hanging="360"/>
      </w:pPr>
      <w:rPr>
        <w:rFonts w:ascii="Courier New" w:hAnsi="Courier New" w:hint="default"/>
      </w:rPr>
    </w:lvl>
    <w:lvl w:ilvl="2" w:tplc="794A666C">
      <w:start w:val="1"/>
      <w:numFmt w:val="bullet"/>
      <w:lvlText w:val=""/>
      <w:lvlJc w:val="left"/>
      <w:pPr>
        <w:ind w:left="2160" w:hanging="360"/>
      </w:pPr>
      <w:rPr>
        <w:rFonts w:ascii="Wingdings" w:hAnsi="Wingdings" w:hint="default"/>
      </w:rPr>
    </w:lvl>
    <w:lvl w:ilvl="3" w:tplc="C3F06E58">
      <w:start w:val="1"/>
      <w:numFmt w:val="bullet"/>
      <w:lvlText w:val=""/>
      <w:lvlJc w:val="left"/>
      <w:pPr>
        <w:ind w:left="2880" w:hanging="360"/>
      </w:pPr>
      <w:rPr>
        <w:rFonts w:ascii="Symbol" w:hAnsi="Symbol" w:hint="default"/>
      </w:rPr>
    </w:lvl>
    <w:lvl w:ilvl="4" w:tplc="9FD65D76">
      <w:start w:val="1"/>
      <w:numFmt w:val="bullet"/>
      <w:lvlText w:val="o"/>
      <w:lvlJc w:val="left"/>
      <w:pPr>
        <w:ind w:left="3600" w:hanging="360"/>
      </w:pPr>
      <w:rPr>
        <w:rFonts w:ascii="Courier New" w:hAnsi="Courier New" w:hint="default"/>
      </w:rPr>
    </w:lvl>
    <w:lvl w:ilvl="5" w:tplc="F872E302">
      <w:start w:val="1"/>
      <w:numFmt w:val="bullet"/>
      <w:lvlText w:val=""/>
      <w:lvlJc w:val="left"/>
      <w:pPr>
        <w:ind w:left="4320" w:hanging="360"/>
      </w:pPr>
      <w:rPr>
        <w:rFonts w:ascii="Wingdings" w:hAnsi="Wingdings" w:hint="default"/>
      </w:rPr>
    </w:lvl>
    <w:lvl w:ilvl="6" w:tplc="4CCA6C2C">
      <w:start w:val="1"/>
      <w:numFmt w:val="bullet"/>
      <w:lvlText w:val=""/>
      <w:lvlJc w:val="left"/>
      <w:pPr>
        <w:ind w:left="5040" w:hanging="360"/>
      </w:pPr>
      <w:rPr>
        <w:rFonts w:ascii="Symbol" w:hAnsi="Symbol" w:hint="default"/>
      </w:rPr>
    </w:lvl>
    <w:lvl w:ilvl="7" w:tplc="72B4E3EA">
      <w:start w:val="1"/>
      <w:numFmt w:val="bullet"/>
      <w:lvlText w:val="o"/>
      <w:lvlJc w:val="left"/>
      <w:pPr>
        <w:ind w:left="5760" w:hanging="360"/>
      </w:pPr>
      <w:rPr>
        <w:rFonts w:ascii="Courier New" w:hAnsi="Courier New" w:hint="default"/>
      </w:rPr>
    </w:lvl>
    <w:lvl w:ilvl="8" w:tplc="1ECCEFE8">
      <w:start w:val="1"/>
      <w:numFmt w:val="bullet"/>
      <w:lvlText w:val=""/>
      <w:lvlJc w:val="left"/>
      <w:pPr>
        <w:ind w:left="6480" w:hanging="360"/>
      </w:pPr>
      <w:rPr>
        <w:rFonts w:ascii="Wingdings" w:hAnsi="Wingdings" w:hint="default"/>
      </w:rPr>
    </w:lvl>
  </w:abstractNum>
  <w:abstractNum w:abstractNumId="3" w15:restartNumberingAfterBreak="0">
    <w:nsid w:val="3BC715DF"/>
    <w:multiLevelType w:val="hybridMultilevel"/>
    <w:tmpl w:val="7DD26B62"/>
    <w:lvl w:ilvl="0" w:tplc="18BE7DE2">
      <w:start w:val="1"/>
      <w:numFmt w:val="bullet"/>
      <w:lvlText w:val=""/>
      <w:lvlJc w:val="left"/>
      <w:pPr>
        <w:ind w:left="720" w:hanging="360"/>
      </w:pPr>
      <w:rPr>
        <w:rFonts w:ascii="Wingdings" w:hAnsi="Wingdings" w:hint="default"/>
      </w:rPr>
    </w:lvl>
    <w:lvl w:ilvl="1" w:tplc="C5A28D3A">
      <w:start w:val="1"/>
      <w:numFmt w:val="bullet"/>
      <w:lvlText w:val="o"/>
      <w:lvlJc w:val="left"/>
      <w:pPr>
        <w:ind w:left="1440" w:hanging="360"/>
      </w:pPr>
      <w:rPr>
        <w:rFonts w:ascii="Courier New" w:hAnsi="Courier New" w:hint="default"/>
      </w:rPr>
    </w:lvl>
    <w:lvl w:ilvl="2" w:tplc="7A1852B4">
      <w:start w:val="1"/>
      <w:numFmt w:val="bullet"/>
      <w:lvlText w:val=""/>
      <w:lvlJc w:val="left"/>
      <w:pPr>
        <w:ind w:left="2160" w:hanging="360"/>
      </w:pPr>
      <w:rPr>
        <w:rFonts w:ascii="Wingdings" w:hAnsi="Wingdings" w:hint="default"/>
      </w:rPr>
    </w:lvl>
    <w:lvl w:ilvl="3" w:tplc="52726C54">
      <w:start w:val="1"/>
      <w:numFmt w:val="bullet"/>
      <w:lvlText w:val=""/>
      <w:lvlJc w:val="left"/>
      <w:pPr>
        <w:ind w:left="2880" w:hanging="360"/>
      </w:pPr>
      <w:rPr>
        <w:rFonts w:ascii="Symbol" w:hAnsi="Symbol" w:hint="default"/>
      </w:rPr>
    </w:lvl>
    <w:lvl w:ilvl="4" w:tplc="5D2CF332">
      <w:start w:val="1"/>
      <w:numFmt w:val="bullet"/>
      <w:lvlText w:val="o"/>
      <w:lvlJc w:val="left"/>
      <w:pPr>
        <w:ind w:left="3600" w:hanging="360"/>
      </w:pPr>
      <w:rPr>
        <w:rFonts w:ascii="Courier New" w:hAnsi="Courier New" w:hint="default"/>
      </w:rPr>
    </w:lvl>
    <w:lvl w:ilvl="5" w:tplc="6BEA7A08">
      <w:start w:val="1"/>
      <w:numFmt w:val="bullet"/>
      <w:lvlText w:val=""/>
      <w:lvlJc w:val="left"/>
      <w:pPr>
        <w:ind w:left="4320" w:hanging="360"/>
      </w:pPr>
      <w:rPr>
        <w:rFonts w:ascii="Wingdings" w:hAnsi="Wingdings" w:hint="default"/>
      </w:rPr>
    </w:lvl>
    <w:lvl w:ilvl="6" w:tplc="F28C9F0A">
      <w:start w:val="1"/>
      <w:numFmt w:val="bullet"/>
      <w:lvlText w:val=""/>
      <w:lvlJc w:val="left"/>
      <w:pPr>
        <w:ind w:left="5040" w:hanging="360"/>
      </w:pPr>
      <w:rPr>
        <w:rFonts w:ascii="Symbol" w:hAnsi="Symbol" w:hint="default"/>
      </w:rPr>
    </w:lvl>
    <w:lvl w:ilvl="7" w:tplc="D22C9888">
      <w:start w:val="1"/>
      <w:numFmt w:val="bullet"/>
      <w:lvlText w:val="o"/>
      <w:lvlJc w:val="left"/>
      <w:pPr>
        <w:ind w:left="5760" w:hanging="360"/>
      </w:pPr>
      <w:rPr>
        <w:rFonts w:ascii="Courier New" w:hAnsi="Courier New" w:hint="default"/>
      </w:rPr>
    </w:lvl>
    <w:lvl w:ilvl="8" w:tplc="0B46B6B2">
      <w:start w:val="1"/>
      <w:numFmt w:val="bullet"/>
      <w:lvlText w:val=""/>
      <w:lvlJc w:val="left"/>
      <w:pPr>
        <w:ind w:left="6480" w:hanging="360"/>
      </w:pPr>
      <w:rPr>
        <w:rFonts w:ascii="Wingdings" w:hAnsi="Wingdings" w:hint="default"/>
      </w:rPr>
    </w:lvl>
  </w:abstractNum>
  <w:abstractNum w:abstractNumId="4" w15:restartNumberingAfterBreak="0">
    <w:nsid w:val="4720FE91"/>
    <w:multiLevelType w:val="hybridMultilevel"/>
    <w:tmpl w:val="212624E0"/>
    <w:lvl w:ilvl="0" w:tplc="0F767DD8">
      <w:start w:val="1"/>
      <w:numFmt w:val="bullet"/>
      <w:lvlText w:val=""/>
      <w:lvlJc w:val="left"/>
      <w:pPr>
        <w:ind w:left="720" w:hanging="360"/>
      </w:pPr>
      <w:rPr>
        <w:rFonts w:ascii="Symbol" w:hAnsi="Symbol" w:hint="default"/>
      </w:rPr>
    </w:lvl>
    <w:lvl w:ilvl="1" w:tplc="52F2A90A">
      <w:start w:val="1"/>
      <w:numFmt w:val="bullet"/>
      <w:lvlText w:val="o"/>
      <w:lvlJc w:val="left"/>
      <w:pPr>
        <w:ind w:left="1440" w:hanging="360"/>
      </w:pPr>
      <w:rPr>
        <w:rFonts w:ascii="Courier New" w:hAnsi="Courier New" w:hint="default"/>
      </w:rPr>
    </w:lvl>
    <w:lvl w:ilvl="2" w:tplc="90C0A132">
      <w:start w:val="1"/>
      <w:numFmt w:val="bullet"/>
      <w:lvlText w:val=""/>
      <w:lvlJc w:val="left"/>
      <w:pPr>
        <w:ind w:left="2160" w:hanging="360"/>
      </w:pPr>
      <w:rPr>
        <w:rFonts w:ascii="Wingdings" w:hAnsi="Wingdings" w:hint="default"/>
      </w:rPr>
    </w:lvl>
    <w:lvl w:ilvl="3" w:tplc="9F2CE6D0">
      <w:start w:val="1"/>
      <w:numFmt w:val="bullet"/>
      <w:lvlText w:val=""/>
      <w:lvlJc w:val="left"/>
      <w:pPr>
        <w:ind w:left="2880" w:hanging="360"/>
      </w:pPr>
      <w:rPr>
        <w:rFonts w:ascii="Symbol" w:hAnsi="Symbol" w:hint="default"/>
      </w:rPr>
    </w:lvl>
    <w:lvl w:ilvl="4" w:tplc="767847FC">
      <w:start w:val="1"/>
      <w:numFmt w:val="bullet"/>
      <w:lvlText w:val="o"/>
      <w:lvlJc w:val="left"/>
      <w:pPr>
        <w:ind w:left="3600" w:hanging="360"/>
      </w:pPr>
      <w:rPr>
        <w:rFonts w:ascii="Courier New" w:hAnsi="Courier New" w:hint="default"/>
      </w:rPr>
    </w:lvl>
    <w:lvl w:ilvl="5" w:tplc="E518532E">
      <w:start w:val="1"/>
      <w:numFmt w:val="bullet"/>
      <w:lvlText w:val=""/>
      <w:lvlJc w:val="left"/>
      <w:pPr>
        <w:ind w:left="4320" w:hanging="360"/>
      </w:pPr>
      <w:rPr>
        <w:rFonts w:ascii="Wingdings" w:hAnsi="Wingdings" w:hint="default"/>
      </w:rPr>
    </w:lvl>
    <w:lvl w:ilvl="6" w:tplc="A5DA0B46">
      <w:start w:val="1"/>
      <w:numFmt w:val="bullet"/>
      <w:lvlText w:val=""/>
      <w:lvlJc w:val="left"/>
      <w:pPr>
        <w:ind w:left="5040" w:hanging="360"/>
      </w:pPr>
      <w:rPr>
        <w:rFonts w:ascii="Symbol" w:hAnsi="Symbol" w:hint="default"/>
      </w:rPr>
    </w:lvl>
    <w:lvl w:ilvl="7" w:tplc="C2B8B166">
      <w:start w:val="1"/>
      <w:numFmt w:val="bullet"/>
      <w:lvlText w:val="o"/>
      <w:lvlJc w:val="left"/>
      <w:pPr>
        <w:ind w:left="5760" w:hanging="360"/>
      </w:pPr>
      <w:rPr>
        <w:rFonts w:ascii="Courier New" w:hAnsi="Courier New" w:hint="default"/>
      </w:rPr>
    </w:lvl>
    <w:lvl w:ilvl="8" w:tplc="0E94A992">
      <w:start w:val="1"/>
      <w:numFmt w:val="bullet"/>
      <w:lvlText w:val=""/>
      <w:lvlJc w:val="left"/>
      <w:pPr>
        <w:ind w:left="6480" w:hanging="360"/>
      </w:pPr>
      <w:rPr>
        <w:rFonts w:ascii="Wingdings" w:hAnsi="Wingdings" w:hint="default"/>
      </w:rPr>
    </w:lvl>
  </w:abstractNum>
  <w:abstractNum w:abstractNumId="5" w15:restartNumberingAfterBreak="0">
    <w:nsid w:val="4FC6FA73"/>
    <w:multiLevelType w:val="hybridMultilevel"/>
    <w:tmpl w:val="ABE04DC6"/>
    <w:lvl w:ilvl="0" w:tplc="FCA86B82">
      <w:start w:val="1"/>
      <w:numFmt w:val="bullet"/>
      <w:lvlText w:val="-"/>
      <w:lvlJc w:val="left"/>
      <w:pPr>
        <w:ind w:left="720" w:hanging="360"/>
      </w:pPr>
      <w:rPr>
        <w:rFonts w:ascii="Calibri" w:hAnsi="Calibri" w:hint="default"/>
      </w:rPr>
    </w:lvl>
    <w:lvl w:ilvl="1" w:tplc="E7182860">
      <w:start w:val="1"/>
      <w:numFmt w:val="bullet"/>
      <w:lvlText w:val="o"/>
      <w:lvlJc w:val="left"/>
      <w:pPr>
        <w:ind w:left="1440" w:hanging="360"/>
      </w:pPr>
      <w:rPr>
        <w:rFonts w:ascii="Courier New" w:hAnsi="Courier New" w:hint="default"/>
      </w:rPr>
    </w:lvl>
    <w:lvl w:ilvl="2" w:tplc="585AF25E">
      <w:start w:val="1"/>
      <w:numFmt w:val="bullet"/>
      <w:lvlText w:val=""/>
      <w:lvlJc w:val="left"/>
      <w:pPr>
        <w:ind w:left="2160" w:hanging="360"/>
      </w:pPr>
      <w:rPr>
        <w:rFonts w:ascii="Wingdings" w:hAnsi="Wingdings" w:hint="default"/>
      </w:rPr>
    </w:lvl>
    <w:lvl w:ilvl="3" w:tplc="8E50359E">
      <w:start w:val="1"/>
      <w:numFmt w:val="bullet"/>
      <w:lvlText w:val=""/>
      <w:lvlJc w:val="left"/>
      <w:pPr>
        <w:ind w:left="2880" w:hanging="360"/>
      </w:pPr>
      <w:rPr>
        <w:rFonts w:ascii="Symbol" w:hAnsi="Symbol" w:hint="default"/>
      </w:rPr>
    </w:lvl>
    <w:lvl w:ilvl="4" w:tplc="4B2E917C">
      <w:start w:val="1"/>
      <w:numFmt w:val="bullet"/>
      <w:lvlText w:val="o"/>
      <w:lvlJc w:val="left"/>
      <w:pPr>
        <w:ind w:left="3600" w:hanging="360"/>
      </w:pPr>
      <w:rPr>
        <w:rFonts w:ascii="Courier New" w:hAnsi="Courier New" w:hint="default"/>
      </w:rPr>
    </w:lvl>
    <w:lvl w:ilvl="5" w:tplc="B8062C8A">
      <w:start w:val="1"/>
      <w:numFmt w:val="bullet"/>
      <w:lvlText w:val=""/>
      <w:lvlJc w:val="left"/>
      <w:pPr>
        <w:ind w:left="4320" w:hanging="360"/>
      </w:pPr>
      <w:rPr>
        <w:rFonts w:ascii="Wingdings" w:hAnsi="Wingdings" w:hint="default"/>
      </w:rPr>
    </w:lvl>
    <w:lvl w:ilvl="6" w:tplc="F23A22F0">
      <w:start w:val="1"/>
      <w:numFmt w:val="bullet"/>
      <w:lvlText w:val=""/>
      <w:lvlJc w:val="left"/>
      <w:pPr>
        <w:ind w:left="5040" w:hanging="360"/>
      </w:pPr>
      <w:rPr>
        <w:rFonts w:ascii="Symbol" w:hAnsi="Symbol" w:hint="default"/>
      </w:rPr>
    </w:lvl>
    <w:lvl w:ilvl="7" w:tplc="9530FE2C">
      <w:start w:val="1"/>
      <w:numFmt w:val="bullet"/>
      <w:lvlText w:val="o"/>
      <w:lvlJc w:val="left"/>
      <w:pPr>
        <w:ind w:left="5760" w:hanging="360"/>
      </w:pPr>
      <w:rPr>
        <w:rFonts w:ascii="Courier New" w:hAnsi="Courier New" w:hint="default"/>
      </w:rPr>
    </w:lvl>
    <w:lvl w:ilvl="8" w:tplc="8116D030">
      <w:start w:val="1"/>
      <w:numFmt w:val="bullet"/>
      <w:lvlText w:val=""/>
      <w:lvlJc w:val="left"/>
      <w:pPr>
        <w:ind w:left="6480" w:hanging="360"/>
      </w:pPr>
      <w:rPr>
        <w:rFonts w:ascii="Wingdings" w:hAnsi="Wingdings" w:hint="default"/>
      </w:rPr>
    </w:lvl>
  </w:abstractNum>
  <w:abstractNum w:abstractNumId="6" w15:restartNumberingAfterBreak="0">
    <w:nsid w:val="6007BFCD"/>
    <w:multiLevelType w:val="hybridMultilevel"/>
    <w:tmpl w:val="7C6E26CA"/>
    <w:lvl w:ilvl="0" w:tplc="927C2220">
      <w:start w:val="1"/>
      <w:numFmt w:val="bullet"/>
      <w:lvlText w:val="-"/>
      <w:lvlJc w:val="left"/>
      <w:pPr>
        <w:ind w:left="720" w:hanging="360"/>
      </w:pPr>
      <w:rPr>
        <w:rFonts w:ascii="Calibri" w:hAnsi="Calibri" w:hint="default"/>
      </w:rPr>
    </w:lvl>
    <w:lvl w:ilvl="1" w:tplc="998E4B76">
      <w:start w:val="1"/>
      <w:numFmt w:val="bullet"/>
      <w:lvlText w:val="o"/>
      <w:lvlJc w:val="left"/>
      <w:pPr>
        <w:ind w:left="1440" w:hanging="360"/>
      </w:pPr>
      <w:rPr>
        <w:rFonts w:ascii="Courier New" w:hAnsi="Courier New" w:hint="default"/>
      </w:rPr>
    </w:lvl>
    <w:lvl w:ilvl="2" w:tplc="7EC608DC">
      <w:start w:val="1"/>
      <w:numFmt w:val="bullet"/>
      <w:lvlText w:val=""/>
      <w:lvlJc w:val="left"/>
      <w:pPr>
        <w:ind w:left="2160" w:hanging="360"/>
      </w:pPr>
      <w:rPr>
        <w:rFonts w:ascii="Wingdings" w:hAnsi="Wingdings" w:hint="default"/>
      </w:rPr>
    </w:lvl>
    <w:lvl w:ilvl="3" w:tplc="2E4682F2">
      <w:start w:val="1"/>
      <w:numFmt w:val="bullet"/>
      <w:lvlText w:val=""/>
      <w:lvlJc w:val="left"/>
      <w:pPr>
        <w:ind w:left="2880" w:hanging="360"/>
      </w:pPr>
      <w:rPr>
        <w:rFonts w:ascii="Symbol" w:hAnsi="Symbol" w:hint="default"/>
      </w:rPr>
    </w:lvl>
    <w:lvl w:ilvl="4" w:tplc="21760768">
      <w:start w:val="1"/>
      <w:numFmt w:val="bullet"/>
      <w:lvlText w:val="o"/>
      <w:lvlJc w:val="left"/>
      <w:pPr>
        <w:ind w:left="3600" w:hanging="360"/>
      </w:pPr>
      <w:rPr>
        <w:rFonts w:ascii="Courier New" w:hAnsi="Courier New" w:hint="default"/>
      </w:rPr>
    </w:lvl>
    <w:lvl w:ilvl="5" w:tplc="9E047264">
      <w:start w:val="1"/>
      <w:numFmt w:val="bullet"/>
      <w:lvlText w:val=""/>
      <w:lvlJc w:val="left"/>
      <w:pPr>
        <w:ind w:left="4320" w:hanging="360"/>
      </w:pPr>
      <w:rPr>
        <w:rFonts w:ascii="Wingdings" w:hAnsi="Wingdings" w:hint="default"/>
      </w:rPr>
    </w:lvl>
    <w:lvl w:ilvl="6" w:tplc="0A48BA82">
      <w:start w:val="1"/>
      <w:numFmt w:val="bullet"/>
      <w:lvlText w:val=""/>
      <w:lvlJc w:val="left"/>
      <w:pPr>
        <w:ind w:left="5040" w:hanging="360"/>
      </w:pPr>
      <w:rPr>
        <w:rFonts w:ascii="Symbol" w:hAnsi="Symbol" w:hint="default"/>
      </w:rPr>
    </w:lvl>
    <w:lvl w:ilvl="7" w:tplc="8DE868C0">
      <w:start w:val="1"/>
      <w:numFmt w:val="bullet"/>
      <w:lvlText w:val="o"/>
      <w:lvlJc w:val="left"/>
      <w:pPr>
        <w:ind w:left="5760" w:hanging="360"/>
      </w:pPr>
      <w:rPr>
        <w:rFonts w:ascii="Courier New" w:hAnsi="Courier New" w:hint="default"/>
      </w:rPr>
    </w:lvl>
    <w:lvl w:ilvl="8" w:tplc="0BA899A2">
      <w:start w:val="1"/>
      <w:numFmt w:val="bullet"/>
      <w:lvlText w:val=""/>
      <w:lvlJc w:val="left"/>
      <w:pPr>
        <w:ind w:left="6480" w:hanging="360"/>
      </w:pPr>
      <w:rPr>
        <w:rFonts w:ascii="Wingdings" w:hAnsi="Wingdings" w:hint="default"/>
      </w:rPr>
    </w:lvl>
  </w:abstractNum>
  <w:abstractNum w:abstractNumId="7" w15:restartNumberingAfterBreak="0">
    <w:nsid w:val="62B6F6D8"/>
    <w:multiLevelType w:val="hybridMultilevel"/>
    <w:tmpl w:val="05AA8BFA"/>
    <w:lvl w:ilvl="0" w:tplc="62A02D42">
      <w:start w:val="1"/>
      <w:numFmt w:val="decimal"/>
      <w:lvlText w:val="%1."/>
      <w:lvlJc w:val="left"/>
      <w:pPr>
        <w:ind w:left="720" w:hanging="360"/>
      </w:pPr>
    </w:lvl>
    <w:lvl w:ilvl="1" w:tplc="A74C98D4">
      <w:start w:val="1"/>
      <w:numFmt w:val="lowerLetter"/>
      <w:lvlText w:val="%2."/>
      <w:lvlJc w:val="left"/>
      <w:pPr>
        <w:ind w:left="1440" w:hanging="360"/>
      </w:pPr>
    </w:lvl>
    <w:lvl w:ilvl="2" w:tplc="665AFDAE">
      <w:start w:val="1"/>
      <w:numFmt w:val="lowerRoman"/>
      <w:lvlText w:val="%3."/>
      <w:lvlJc w:val="right"/>
      <w:pPr>
        <w:ind w:left="2160" w:hanging="180"/>
      </w:pPr>
    </w:lvl>
    <w:lvl w:ilvl="3" w:tplc="9EEEAF1E">
      <w:start w:val="1"/>
      <w:numFmt w:val="decimal"/>
      <w:lvlText w:val="%4."/>
      <w:lvlJc w:val="left"/>
      <w:pPr>
        <w:ind w:left="2880" w:hanging="360"/>
      </w:pPr>
    </w:lvl>
    <w:lvl w:ilvl="4" w:tplc="81669B8A">
      <w:start w:val="1"/>
      <w:numFmt w:val="lowerLetter"/>
      <w:lvlText w:val="%5."/>
      <w:lvlJc w:val="left"/>
      <w:pPr>
        <w:ind w:left="3600" w:hanging="360"/>
      </w:pPr>
    </w:lvl>
    <w:lvl w:ilvl="5" w:tplc="A080F05E">
      <w:start w:val="1"/>
      <w:numFmt w:val="lowerRoman"/>
      <w:lvlText w:val="%6."/>
      <w:lvlJc w:val="right"/>
      <w:pPr>
        <w:ind w:left="4320" w:hanging="180"/>
      </w:pPr>
    </w:lvl>
    <w:lvl w:ilvl="6" w:tplc="DF729B60">
      <w:start w:val="1"/>
      <w:numFmt w:val="decimal"/>
      <w:lvlText w:val="%7."/>
      <w:lvlJc w:val="left"/>
      <w:pPr>
        <w:ind w:left="5040" w:hanging="360"/>
      </w:pPr>
    </w:lvl>
    <w:lvl w:ilvl="7" w:tplc="5EA44434">
      <w:start w:val="1"/>
      <w:numFmt w:val="lowerLetter"/>
      <w:lvlText w:val="%8."/>
      <w:lvlJc w:val="left"/>
      <w:pPr>
        <w:ind w:left="5760" w:hanging="360"/>
      </w:pPr>
    </w:lvl>
    <w:lvl w:ilvl="8" w:tplc="E09A2D7E">
      <w:start w:val="1"/>
      <w:numFmt w:val="lowerRoman"/>
      <w:lvlText w:val="%9."/>
      <w:lvlJc w:val="right"/>
      <w:pPr>
        <w:ind w:left="6480" w:hanging="180"/>
      </w:pPr>
    </w:lvl>
  </w:abstractNum>
  <w:abstractNum w:abstractNumId="8" w15:restartNumberingAfterBreak="0">
    <w:nsid w:val="6771C092"/>
    <w:multiLevelType w:val="hybridMultilevel"/>
    <w:tmpl w:val="7AC65D02"/>
    <w:lvl w:ilvl="0" w:tplc="69820456">
      <w:start w:val="1"/>
      <w:numFmt w:val="bullet"/>
      <w:lvlText w:val="-"/>
      <w:lvlJc w:val="left"/>
      <w:pPr>
        <w:ind w:left="720" w:hanging="360"/>
      </w:pPr>
      <w:rPr>
        <w:rFonts w:ascii="Calibri" w:hAnsi="Calibri" w:hint="default"/>
      </w:rPr>
    </w:lvl>
    <w:lvl w:ilvl="1" w:tplc="BEF2E862">
      <w:start w:val="1"/>
      <w:numFmt w:val="bullet"/>
      <w:lvlText w:val="o"/>
      <w:lvlJc w:val="left"/>
      <w:pPr>
        <w:ind w:left="1440" w:hanging="360"/>
      </w:pPr>
      <w:rPr>
        <w:rFonts w:ascii="Courier New" w:hAnsi="Courier New" w:hint="default"/>
      </w:rPr>
    </w:lvl>
    <w:lvl w:ilvl="2" w:tplc="B776AF28">
      <w:start w:val="1"/>
      <w:numFmt w:val="bullet"/>
      <w:lvlText w:val=""/>
      <w:lvlJc w:val="left"/>
      <w:pPr>
        <w:ind w:left="2160" w:hanging="360"/>
      </w:pPr>
      <w:rPr>
        <w:rFonts w:ascii="Wingdings" w:hAnsi="Wingdings" w:hint="default"/>
      </w:rPr>
    </w:lvl>
    <w:lvl w:ilvl="3" w:tplc="42DC6D3C">
      <w:start w:val="1"/>
      <w:numFmt w:val="bullet"/>
      <w:lvlText w:val=""/>
      <w:lvlJc w:val="left"/>
      <w:pPr>
        <w:ind w:left="2880" w:hanging="360"/>
      </w:pPr>
      <w:rPr>
        <w:rFonts w:ascii="Symbol" w:hAnsi="Symbol" w:hint="default"/>
      </w:rPr>
    </w:lvl>
    <w:lvl w:ilvl="4" w:tplc="3126C93E">
      <w:start w:val="1"/>
      <w:numFmt w:val="bullet"/>
      <w:lvlText w:val="o"/>
      <w:lvlJc w:val="left"/>
      <w:pPr>
        <w:ind w:left="3600" w:hanging="360"/>
      </w:pPr>
      <w:rPr>
        <w:rFonts w:ascii="Courier New" w:hAnsi="Courier New" w:hint="default"/>
      </w:rPr>
    </w:lvl>
    <w:lvl w:ilvl="5" w:tplc="E9FE7876">
      <w:start w:val="1"/>
      <w:numFmt w:val="bullet"/>
      <w:lvlText w:val=""/>
      <w:lvlJc w:val="left"/>
      <w:pPr>
        <w:ind w:left="4320" w:hanging="360"/>
      </w:pPr>
      <w:rPr>
        <w:rFonts w:ascii="Wingdings" w:hAnsi="Wingdings" w:hint="default"/>
      </w:rPr>
    </w:lvl>
    <w:lvl w:ilvl="6" w:tplc="EC5E7068">
      <w:start w:val="1"/>
      <w:numFmt w:val="bullet"/>
      <w:lvlText w:val=""/>
      <w:lvlJc w:val="left"/>
      <w:pPr>
        <w:ind w:left="5040" w:hanging="360"/>
      </w:pPr>
      <w:rPr>
        <w:rFonts w:ascii="Symbol" w:hAnsi="Symbol" w:hint="default"/>
      </w:rPr>
    </w:lvl>
    <w:lvl w:ilvl="7" w:tplc="B972EAAE">
      <w:start w:val="1"/>
      <w:numFmt w:val="bullet"/>
      <w:lvlText w:val="o"/>
      <w:lvlJc w:val="left"/>
      <w:pPr>
        <w:ind w:left="5760" w:hanging="360"/>
      </w:pPr>
      <w:rPr>
        <w:rFonts w:ascii="Courier New" w:hAnsi="Courier New" w:hint="default"/>
      </w:rPr>
    </w:lvl>
    <w:lvl w:ilvl="8" w:tplc="B54A71FA">
      <w:start w:val="1"/>
      <w:numFmt w:val="bullet"/>
      <w:lvlText w:val=""/>
      <w:lvlJc w:val="left"/>
      <w:pPr>
        <w:ind w:left="6480" w:hanging="360"/>
      </w:pPr>
      <w:rPr>
        <w:rFonts w:ascii="Wingdings" w:hAnsi="Wingdings" w:hint="default"/>
      </w:rPr>
    </w:lvl>
  </w:abstractNum>
  <w:abstractNum w:abstractNumId="9" w15:restartNumberingAfterBreak="0">
    <w:nsid w:val="68A26A1D"/>
    <w:multiLevelType w:val="hybridMultilevel"/>
    <w:tmpl w:val="B5EA800E"/>
    <w:lvl w:ilvl="0" w:tplc="0C1A83EE">
      <w:start w:val="1"/>
      <w:numFmt w:val="bullet"/>
      <w:lvlText w:val=""/>
      <w:lvlJc w:val="left"/>
      <w:pPr>
        <w:ind w:left="720" w:hanging="360"/>
      </w:pPr>
      <w:rPr>
        <w:rFonts w:ascii="Symbol" w:hAnsi="Symbol" w:hint="default"/>
      </w:rPr>
    </w:lvl>
    <w:lvl w:ilvl="1" w:tplc="C42EA042">
      <w:start w:val="1"/>
      <w:numFmt w:val="bullet"/>
      <w:lvlText w:val="o"/>
      <w:lvlJc w:val="left"/>
      <w:pPr>
        <w:ind w:left="1440" w:hanging="360"/>
      </w:pPr>
      <w:rPr>
        <w:rFonts w:ascii="Courier New" w:hAnsi="Courier New" w:hint="default"/>
      </w:rPr>
    </w:lvl>
    <w:lvl w:ilvl="2" w:tplc="828A7320">
      <w:start w:val="1"/>
      <w:numFmt w:val="bullet"/>
      <w:lvlText w:val=""/>
      <w:lvlJc w:val="left"/>
      <w:pPr>
        <w:ind w:left="2160" w:hanging="360"/>
      </w:pPr>
      <w:rPr>
        <w:rFonts w:ascii="Wingdings" w:hAnsi="Wingdings" w:hint="default"/>
      </w:rPr>
    </w:lvl>
    <w:lvl w:ilvl="3" w:tplc="09AC83B0">
      <w:start w:val="1"/>
      <w:numFmt w:val="bullet"/>
      <w:lvlText w:val=""/>
      <w:lvlJc w:val="left"/>
      <w:pPr>
        <w:ind w:left="2880" w:hanging="360"/>
      </w:pPr>
      <w:rPr>
        <w:rFonts w:ascii="Symbol" w:hAnsi="Symbol" w:hint="default"/>
      </w:rPr>
    </w:lvl>
    <w:lvl w:ilvl="4" w:tplc="9A7E3A26">
      <w:start w:val="1"/>
      <w:numFmt w:val="bullet"/>
      <w:lvlText w:val="o"/>
      <w:lvlJc w:val="left"/>
      <w:pPr>
        <w:ind w:left="3600" w:hanging="360"/>
      </w:pPr>
      <w:rPr>
        <w:rFonts w:ascii="Courier New" w:hAnsi="Courier New" w:hint="default"/>
      </w:rPr>
    </w:lvl>
    <w:lvl w:ilvl="5" w:tplc="2698F614">
      <w:start w:val="1"/>
      <w:numFmt w:val="bullet"/>
      <w:lvlText w:val=""/>
      <w:lvlJc w:val="left"/>
      <w:pPr>
        <w:ind w:left="4320" w:hanging="360"/>
      </w:pPr>
      <w:rPr>
        <w:rFonts w:ascii="Wingdings" w:hAnsi="Wingdings" w:hint="default"/>
      </w:rPr>
    </w:lvl>
    <w:lvl w:ilvl="6" w:tplc="298E880A">
      <w:start w:val="1"/>
      <w:numFmt w:val="bullet"/>
      <w:lvlText w:val=""/>
      <w:lvlJc w:val="left"/>
      <w:pPr>
        <w:ind w:left="5040" w:hanging="360"/>
      </w:pPr>
      <w:rPr>
        <w:rFonts w:ascii="Symbol" w:hAnsi="Symbol" w:hint="default"/>
      </w:rPr>
    </w:lvl>
    <w:lvl w:ilvl="7" w:tplc="69987C48">
      <w:start w:val="1"/>
      <w:numFmt w:val="bullet"/>
      <w:lvlText w:val="o"/>
      <w:lvlJc w:val="left"/>
      <w:pPr>
        <w:ind w:left="5760" w:hanging="360"/>
      </w:pPr>
      <w:rPr>
        <w:rFonts w:ascii="Courier New" w:hAnsi="Courier New" w:hint="default"/>
      </w:rPr>
    </w:lvl>
    <w:lvl w:ilvl="8" w:tplc="5CC69818">
      <w:start w:val="1"/>
      <w:numFmt w:val="bullet"/>
      <w:lvlText w:val=""/>
      <w:lvlJc w:val="left"/>
      <w:pPr>
        <w:ind w:left="6480" w:hanging="360"/>
      </w:pPr>
      <w:rPr>
        <w:rFonts w:ascii="Wingdings" w:hAnsi="Wingdings" w:hint="default"/>
      </w:rPr>
    </w:lvl>
  </w:abstractNum>
  <w:abstractNum w:abstractNumId="10" w15:restartNumberingAfterBreak="0">
    <w:nsid w:val="6F7DFAF4"/>
    <w:multiLevelType w:val="hybridMultilevel"/>
    <w:tmpl w:val="D79CF286"/>
    <w:lvl w:ilvl="0" w:tplc="C9D8D9B2">
      <w:start w:val="1"/>
      <w:numFmt w:val="bullet"/>
      <w:lvlText w:val="-"/>
      <w:lvlJc w:val="left"/>
      <w:pPr>
        <w:ind w:left="720" w:hanging="360"/>
      </w:pPr>
      <w:rPr>
        <w:rFonts w:ascii="Calibri" w:hAnsi="Calibri" w:hint="default"/>
      </w:rPr>
    </w:lvl>
    <w:lvl w:ilvl="1" w:tplc="38A45AC4">
      <w:start w:val="1"/>
      <w:numFmt w:val="bullet"/>
      <w:lvlText w:val="o"/>
      <w:lvlJc w:val="left"/>
      <w:pPr>
        <w:ind w:left="1440" w:hanging="360"/>
      </w:pPr>
      <w:rPr>
        <w:rFonts w:ascii="Courier New" w:hAnsi="Courier New" w:hint="default"/>
      </w:rPr>
    </w:lvl>
    <w:lvl w:ilvl="2" w:tplc="8F120D8E">
      <w:start w:val="1"/>
      <w:numFmt w:val="bullet"/>
      <w:lvlText w:val=""/>
      <w:lvlJc w:val="left"/>
      <w:pPr>
        <w:ind w:left="2160" w:hanging="360"/>
      </w:pPr>
      <w:rPr>
        <w:rFonts w:ascii="Wingdings" w:hAnsi="Wingdings" w:hint="default"/>
      </w:rPr>
    </w:lvl>
    <w:lvl w:ilvl="3" w:tplc="6668F8F8">
      <w:start w:val="1"/>
      <w:numFmt w:val="bullet"/>
      <w:lvlText w:val=""/>
      <w:lvlJc w:val="left"/>
      <w:pPr>
        <w:ind w:left="2880" w:hanging="360"/>
      </w:pPr>
      <w:rPr>
        <w:rFonts w:ascii="Symbol" w:hAnsi="Symbol" w:hint="default"/>
      </w:rPr>
    </w:lvl>
    <w:lvl w:ilvl="4" w:tplc="E44A8FE6">
      <w:start w:val="1"/>
      <w:numFmt w:val="bullet"/>
      <w:lvlText w:val="o"/>
      <w:lvlJc w:val="left"/>
      <w:pPr>
        <w:ind w:left="3600" w:hanging="360"/>
      </w:pPr>
      <w:rPr>
        <w:rFonts w:ascii="Courier New" w:hAnsi="Courier New" w:hint="default"/>
      </w:rPr>
    </w:lvl>
    <w:lvl w:ilvl="5" w:tplc="E38E7378">
      <w:start w:val="1"/>
      <w:numFmt w:val="bullet"/>
      <w:lvlText w:val=""/>
      <w:lvlJc w:val="left"/>
      <w:pPr>
        <w:ind w:left="4320" w:hanging="360"/>
      </w:pPr>
      <w:rPr>
        <w:rFonts w:ascii="Wingdings" w:hAnsi="Wingdings" w:hint="default"/>
      </w:rPr>
    </w:lvl>
    <w:lvl w:ilvl="6" w:tplc="4A3C5EF0">
      <w:start w:val="1"/>
      <w:numFmt w:val="bullet"/>
      <w:lvlText w:val=""/>
      <w:lvlJc w:val="left"/>
      <w:pPr>
        <w:ind w:left="5040" w:hanging="360"/>
      </w:pPr>
      <w:rPr>
        <w:rFonts w:ascii="Symbol" w:hAnsi="Symbol" w:hint="default"/>
      </w:rPr>
    </w:lvl>
    <w:lvl w:ilvl="7" w:tplc="B3B0FC16">
      <w:start w:val="1"/>
      <w:numFmt w:val="bullet"/>
      <w:lvlText w:val="o"/>
      <w:lvlJc w:val="left"/>
      <w:pPr>
        <w:ind w:left="5760" w:hanging="360"/>
      </w:pPr>
      <w:rPr>
        <w:rFonts w:ascii="Courier New" w:hAnsi="Courier New" w:hint="default"/>
      </w:rPr>
    </w:lvl>
    <w:lvl w:ilvl="8" w:tplc="8E167048">
      <w:start w:val="1"/>
      <w:numFmt w:val="bullet"/>
      <w:lvlText w:val=""/>
      <w:lvlJc w:val="left"/>
      <w:pPr>
        <w:ind w:left="6480" w:hanging="360"/>
      </w:pPr>
      <w:rPr>
        <w:rFonts w:ascii="Wingdings" w:hAnsi="Wingdings" w:hint="default"/>
      </w:rPr>
    </w:lvl>
  </w:abstractNum>
  <w:num w:numId="1" w16cid:durableId="1815953501">
    <w:abstractNumId w:val="3"/>
  </w:num>
  <w:num w:numId="2" w16cid:durableId="396977760">
    <w:abstractNumId w:val="2"/>
  </w:num>
  <w:num w:numId="3" w16cid:durableId="179508707">
    <w:abstractNumId w:val="4"/>
  </w:num>
  <w:num w:numId="4" w16cid:durableId="1311864408">
    <w:abstractNumId w:val="0"/>
  </w:num>
  <w:num w:numId="5" w16cid:durableId="1154681871">
    <w:abstractNumId w:val="10"/>
  </w:num>
  <w:num w:numId="6" w16cid:durableId="438647399">
    <w:abstractNumId w:val="1"/>
  </w:num>
  <w:num w:numId="7" w16cid:durableId="2117208193">
    <w:abstractNumId w:val="5"/>
  </w:num>
  <w:num w:numId="8" w16cid:durableId="688802382">
    <w:abstractNumId w:val="6"/>
  </w:num>
  <w:num w:numId="9" w16cid:durableId="1635477163">
    <w:abstractNumId w:val="8"/>
  </w:num>
  <w:num w:numId="10" w16cid:durableId="1066682209">
    <w:abstractNumId w:val="7"/>
  </w:num>
  <w:num w:numId="11" w16cid:durableId="1354652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EE5A1"/>
    <w:rsid w:val="000851CB"/>
    <w:rsid w:val="007C751A"/>
    <w:rsid w:val="00905418"/>
    <w:rsid w:val="00FF4D12"/>
    <w:rsid w:val="2588CCB3"/>
    <w:rsid w:val="63AFF685"/>
    <w:rsid w:val="65EEE5A1"/>
    <w:rsid w:val="742D42C8"/>
    <w:rsid w:val="760D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5A1"/>
  <w15:chartTrackingRefBased/>
  <w15:docId w15:val="{E6062133-9190-4618-87D9-A5D5C4F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3322</Words>
  <Characters>18940</Characters>
  <Application>Microsoft Office Word</Application>
  <DocSecurity>0</DocSecurity>
  <Lines>157</Lines>
  <Paragraphs>44</Paragraphs>
  <ScaleCrop>false</ScaleCrop>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Мартемьянов</dc:creator>
  <cp:keywords/>
  <dc:description/>
  <cp:lastModifiedBy>Анастасия Петушкова</cp:lastModifiedBy>
  <cp:revision>4</cp:revision>
  <dcterms:created xsi:type="dcterms:W3CDTF">2023-12-12T06:04:00Z</dcterms:created>
  <dcterms:modified xsi:type="dcterms:W3CDTF">2024-02-15T03:13:00Z</dcterms:modified>
</cp:coreProperties>
</file>