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>
  <w:body>
    <w:p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ФГБОУ ВО “Красноярский государственный медицинский университет им.проф. В.Ф. Войно-Ясенецкого” Министерства здравоохранения Российской Федерации </w:t>
      </w:r>
    </w:p>
    <w:p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педиатрии ИПО</w:t>
      </w: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кафедрой: дмн, профессор Таранушенко Т.Е.</w:t>
      </w:r>
    </w:p>
    <w:p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Проверил</w:t>
      </w:r>
      <w:r>
        <w:rPr>
          <w:rFonts w:ascii="Times New Roman" w:hAnsi="Times New Roman"/>
          <w:sz w:val="28"/>
        </w:rPr>
        <w:t>: дмн Кадричева Т.Г.</w:t>
      </w:r>
    </w:p>
    <w:p>
      <w:pPr>
        <w:spacing w:line="360" w:lineRule="auto"/>
        <w:jc w:val="right"/>
        <w:rPr>
          <w:rFonts w:ascii="Times New Roman" w:hAnsi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РЕФЕРАТ на тему: “Нейротоксические осложнения химиотерапии у детей”</w:t>
      </w: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ординатор 1 года, специальности Педиатрия</w:t>
      </w:r>
    </w:p>
    <w:p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Кригян Валерия Евгеньевна</w:t>
      </w: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Красноярск, 2022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Оглавление</w:t>
      </w:r>
    </w:p>
    <w:p>
      <w:pPr>
        <w:spacing w:line="360" w:lineRule="auto"/>
        <w:jc w:val="left"/>
        <w:rPr>
          <w:rFonts w:ascii="Times New Roman" w:hAnsi="Times New Roman"/>
          <w:b w:val="off"/>
          <w:sz w:val="28"/>
        </w:rPr>
      </w:pPr>
      <w:r>
        <w:rPr>
          <w:rFonts w:ascii="Times New Roman" w:hAnsi="Times New Roman"/>
          <w:b/>
          <w:sz w:val="28"/>
        </w:rPr>
        <w:t>Список сокращений</w:t>
      </w:r>
      <w:r>
        <w:rPr>
          <w:rFonts w:ascii="Times New Roman" w:hAnsi="Times New Roman"/>
          <w:b w:val="off"/>
          <w:sz w:val="28"/>
        </w:rPr>
        <w:t>......................................................................................................3</w:t>
      </w:r>
    </w:p>
    <w:p>
      <w:pPr>
        <w:spacing w:line="360" w:lineRule="auto"/>
        <w:jc w:val="left"/>
        <w:rPr>
          <w:rFonts w:ascii="Times New Roman" w:hAnsi="Times New Roman"/>
          <w:b w:val="off"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  <w:r>
        <w:rPr>
          <w:rFonts w:ascii="Times New Roman" w:hAnsi="Times New Roman"/>
          <w:b w:val="off"/>
          <w:sz w:val="28"/>
        </w:rPr>
        <w:t>..........................................................................................................................4</w:t>
      </w:r>
    </w:p>
    <w:p>
      <w:pPr>
        <w:spacing w:line="360" w:lineRule="auto"/>
        <w:jc w:val="left"/>
        <w:rPr>
          <w:rFonts w:ascii="Times New Roman" w:hAnsi="Times New Roman"/>
          <w:b w:val="off"/>
          <w:sz w:val="28"/>
        </w:rPr>
      </w:pPr>
      <w:r>
        <w:rPr>
          <w:rFonts w:ascii="Times New Roman" w:hAnsi="Times New Roman"/>
          <w:b/>
          <w:sz w:val="28"/>
        </w:rPr>
        <w:t>Основная часть</w:t>
      </w:r>
      <w:r>
        <w:rPr>
          <w:rFonts w:ascii="Times New Roman" w:hAnsi="Times New Roman"/>
          <w:b w:val="off"/>
          <w:sz w:val="28"/>
        </w:rPr>
        <w:t>.........................................................................................................5-16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I.Общие сведения о вариабельности нейротоксичных свойств химиопрепаратов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II. </w:t>
      </w:r>
      <w:r>
        <w:rPr>
          <w:rFonts w:ascii="Times New Roman" w:hAnsi="Times New Roman"/>
          <w:color w:val="000000"/>
          <w:sz w:val="28"/>
        </w:rPr>
        <w:t>Понятие о нейролейкимии на примере острых лейкозов: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Неврологические осложнения, связанные с основным заболеванием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Неврологические осложнения, связанные с проведением терапии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III. </w:t>
      </w:r>
      <w:r>
        <w:rPr>
          <w:rFonts w:ascii="Times New Roman" w:hAnsi="Times New Roman"/>
          <w:color w:val="000000"/>
          <w:sz w:val="28"/>
        </w:rPr>
        <w:t>Лечение нейротоксичности</w:t>
      </w: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</w:rPr>
        <w:t>IV. Примеры нейротоксического действия некоторых химиотерапевтических препаратов, применяемых в детской онкологической практике</w:t>
      </w:r>
    </w:p>
    <w:p>
      <w:pPr>
        <w:spacing w:line="360" w:lineRule="auto"/>
        <w:jc w:val="left"/>
        <w:rPr>
          <w:rFonts w:ascii="Times New Roman" w:hAnsi="Times New Roman"/>
          <w:b w:val="off"/>
          <w:sz w:val="28"/>
        </w:rPr>
      </w:pPr>
      <w:r>
        <w:rPr>
          <w:rFonts w:ascii="Times New Roman" w:hAnsi="Times New Roman"/>
          <w:b/>
          <w:sz w:val="28"/>
        </w:rPr>
        <w:t>Заключение</w:t>
      </w:r>
      <w:r>
        <w:rPr>
          <w:rFonts w:ascii="Times New Roman" w:hAnsi="Times New Roman"/>
          <w:b w:val="off"/>
          <w:sz w:val="28"/>
        </w:rPr>
        <w:t>...................................................................................................................17</w:t>
      </w:r>
    </w:p>
    <w:p>
      <w:pPr>
        <w:spacing w:line="360" w:lineRule="auto"/>
        <w:jc w:val="left"/>
        <w:rPr>
          <w:rFonts w:ascii="Times New Roman" w:hAnsi="Times New Roman"/>
          <w:b w:val="off"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  <w:r>
        <w:rPr>
          <w:rFonts w:ascii="Times New Roman" w:hAnsi="Times New Roman"/>
          <w:b w:val="off"/>
          <w:sz w:val="28"/>
        </w:rPr>
        <w:t>.....................................................................................................18</w:t>
      </w: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сокращений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АД- </w:t>
      </w:r>
      <w:r>
        <w:rPr>
          <w:rFonts w:ascii="Times New Roman" w:hAnsi="Times New Roman"/>
          <w:b w:val="off"/>
          <w:sz w:val="28"/>
        </w:rPr>
        <w:t>артериальное давление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МРТ</w:t>
      </w:r>
      <w:r>
        <w:rPr>
          <w:rFonts w:ascii="Times New Roman" w:hAnsi="Times New Roman"/>
          <w:b w:val="off"/>
          <w:sz w:val="28"/>
        </w:rPr>
        <w:t>-магнитно-резонансная томография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МТХ</w:t>
      </w:r>
      <w:r>
        <w:rPr>
          <w:rFonts w:ascii="Times New Roman" w:hAnsi="Times New Roman"/>
          <w:b w:val="off"/>
          <w:sz w:val="28"/>
        </w:rPr>
        <w:t>-метотрексат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НЛ</w:t>
      </w:r>
      <w:r>
        <w:rPr>
          <w:rFonts w:ascii="Times New Roman" w:hAnsi="Times New Roman"/>
          <w:b w:val="off"/>
          <w:sz w:val="28"/>
        </w:rPr>
        <w:t>-нейролейкемия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НТР</w:t>
      </w:r>
      <w:r>
        <w:rPr>
          <w:rFonts w:ascii="Times New Roman" w:hAnsi="Times New Roman"/>
          <w:b w:val="off"/>
          <w:sz w:val="28"/>
        </w:rPr>
        <w:t>-нейротоксические реакции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ОЛЛ</w:t>
      </w:r>
      <w:r>
        <w:rPr>
          <w:rFonts w:ascii="Times New Roman" w:hAnsi="Times New Roman"/>
          <w:b w:val="off"/>
          <w:sz w:val="28"/>
        </w:rPr>
        <w:t>-острый лимфобластный лейкоз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ОМЛ</w:t>
      </w:r>
      <w:r>
        <w:rPr>
          <w:rFonts w:ascii="Times New Roman" w:hAnsi="Times New Roman"/>
          <w:b w:val="off"/>
          <w:sz w:val="28"/>
        </w:rPr>
        <w:t>-острый миелобластный лейкоз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ПХТ- </w:t>
      </w:r>
      <w:r>
        <w:rPr>
          <w:rFonts w:ascii="Times New Roman" w:hAnsi="Times New Roman"/>
          <w:b w:val="off"/>
          <w:sz w:val="28"/>
        </w:rPr>
        <w:t>полихимиотерапия</w:t>
      </w:r>
      <w:r>
        <w:rPr>
          <w:rFonts w:ascii="Times New Roman" w:hAnsi="Times New Roman"/>
          <w:b/>
          <w:sz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СЗОЛ</w:t>
      </w:r>
      <w:r>
        <w:rPr>
          <w:rFonts w:ascii="Times New Roman" w:hAnsi="Times New Roman"/>
          <w:b w:val="off"/>
          <w:sz w:val="28"/>
        </w:rPr>
        <w:t xml:space="preserve">-синдром </w:t>
      </w:r>
      <w:r>
        <w:rPr>
          <w:rFonts w:ascii="Times New Roman" w:hAnsi="Times New Roman"/>
          <w:b w:val="off"/>
          <w:sz w:val="28"/>
        </w:rPr>
        <w:t>задней обратимой лейкоэнцефалопатии</w:t>
      </w:r>
    </w:p>
    <w:p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ЦНС- </w:t>
      </w:r>
      <w:r>
        <w:rPr>
          <w:rFonts w:ascii="Times New Roman" w:hAnsi="Times New Roman"/>
          <w:b w:val="off"/>
          <w:sz w:val="28"/>
        </w:rPr>
        <w:t xml:space="preserve">центральная нервная система </w:t>
      </w: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Одним из наиболее распространенных методов лечения онкологических заболеваний у детей является химиотерапия. Высокая чувствительность большинства опухолей в детском возрасте к лекарственным препаратам обусловлена морфологическими особенностями, в частности низкой дифференцировкой опухолей, высокой пролиферативной активностью с общей и местной агрессивностью опухолевого процесса, быстрым ростом и метастазированием. В педиатрической практике, как правило, используется сочетание нескольких препаратов, которые в той или иной степени активны при данной опухоли. Препараты для полихимиотерапии подбирают таким образом, чтобы они имели различные механизмы действия, а их побочные действия не суммировались. Однако применение химиотерапевтических препаратов определяется высокой частотой побочных эффектов, в том числе связанных с нейротоксичностью . </w:t>
      </w:r>
      <w:r>
        <w:rPr>
          <w:rFonts w:ascii="Times New Roman" w:hAnsi="Times New Roman"/>
          <w:color w:val="000000"/>
          <w:sz w:val="28"/>
        </w:rPr>
        <w:t>Присоединение неврологической симптоматики к основной клинической картине онкологического заболевания существенно усугубляет тяжесть состояния больных и влияет на прогноз.[1]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Основная часть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Центральная нейротоксичность может проявиться на уровне спинного мозга миелопатией (встречается крайне редко при интратекальном введении препаратов), на уровне головного мозга - различными психовегетативными нарушениями и острой, подострой или прогрессирующей энцефалопатией с развитием синдрома нарушенного сознания; судорожного синдрома; двигательных нарушений (пирамидных, экстрапирамидных, мозжечковых); когнитивных расстройств и др. Часто наблюдаются такие проявления токсичности как головная боль и головокружение. Центральные вегетативные (надсегментарные) и психовегетативные нарушения включают вегетативную лабильность, вегетативные кризы (панические атаки), эмоционально-аффективные расстройства и астенические состояния [4].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I.Общие сведения о вариабельности нейротоксичных свойств химиопрепаратов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Вариабельность манифестации нейротоксичности химиопрепаратов достаточно широкая. Нейротоксические эффекты могут быть острыми (</w:t>
      </w:r>
      <w:r>
        <w:rPr>
          <w:rFonts w:ascii="Times New Roman" w:hAnsi="Times New Roman"/>
          <w:color w:val="000000"/>
          <w:sz w:val="28"/>
        </w:rPr>
        <w:t>возникающие в первые часты после введения препарата)</w:t>
      </w:r>
      <w:r>
        <w:rPr>
          <w:rFonts w:ascii="Times New Roman" w:hAnsi="Times New Roman"/>
          <w:color w:val="000000"/>
          <w:sz w:val="28"/>
        </w:rPr>
        <w:t>, подострыми (</w:t>
      </w:r>
      <w:r>
        <w:rPr>
          <w:rFonts w:ascii="Times New Roman" w:hAnsi="Times New Roman"/>
          <w:color w:val="000000"/>
          <w:sz w:val="28"/>
        </w:rPr>
        <w:t>возникающие в процессе проведения химиотерапии, чаще к концу курса лечения), отсроченными (проявляющиеся до 6 недель от начала курса химиотерапии)</w:t>
      </w:r>
      <w:r>
        <w:rPr>
          <w:rFonts w:ascii="Times New Roman" w:hAnsi="Times New Roman"/>
          <w:color w:val="000000"/>
          <w:sz w:val="28"/>
        </w:rPr>
        <w:t xml:space="preserve"> или отдаленными (</w:t>
      </w:r>
      <w:r>
        <w:rPr>
          <w:rFonts w:ascii="Times New Roman" w:hAnsi="Times New Roman"/>
          <w:color w:val="000000"/>
          <w:sz w:val="28"/>
        </w:rPr>
        <w:t>развивающиеся позднее 6-8 недель после окончания курса ПХТ)</w:t>
      </w:r>
      <w:r>
        <w:rPr>
          <w:rFonts w:ascii="Times New Roman" w:hAnsi="Times New Roman"/>
          <w:color w:val="000000"/>
          <w:sz w:val="28"/>
        </w:rPr>
        <w:t xml:space="preserve"> по времени возникновения, обратимыми или необратимыми (или же частично обратимыми) по типу их регресса. При лечении опухолей центральной нервной системы нейротоксичность усугубляется действием самой опухоли на нервную систему, дополнительными методами терапии и собственно нейротоксичностью препарата . Для детского возраста характерно развитие комплекса когнитивных нарушений на фоне химиотерапии [5]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Нейротоксичность химиопрепаратов определяется различными патогенетическими механизмами. Наиболее чувствительными клетками центральной нервной системы являются нервные клетки-предшественники и олигодендроциты . Среди основных механизмов патогенеза поражения нервной системы выделяют прямую нейротоксичность, иммуноопосредованный ответ и повреждения ДНК [5].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степени тяжести заболевания у детей затруднена, поэтому используются объективные и субъективные критерии . Субъективно ребенок может жаловаться на парестезии, нарушение чувствительности, моторной функции (провисание стопы). Объективное нейрофизиологическое обследование включает в себя исследование скорости проводимости нерва и электромиографию, которые не всегда выполнимы в детской практике в связи с болезненностью процедур [1].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II. </w:t>
      </w:r>
      <w:r>
        <w:rPr>
          <w:rFonts w:ascii="Times New Roman" w:hAnsi="Times New Roman"/>
          <w:b/>
          <w:color w:val="000000"/>
          <w:sz w:val="28"/>
        </w:rPr>
        <w:t>Понятие о нейролейкимии на примере острых лейкозов.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 нейролейкемией (НЛ) понимают инфильтрацию бластами мозговых оболочек, корешков нервов, вещества мозга[7] . </w:t>
      </w:r>
      <w:r>
        <w:rPr>
          <w:rFonts w:ascii="Times New Roman" w:hAnsi="Times New Roman"/>
          <w:color w:val="000000"/>
          <w:sz w:val="28"/>
        </w:rPr>
        <w:t>С целью профилактики нейролейкемии при каждой люмбальной пункции рекомендовано вводить 3 препарата: Метотрексат, Цитозина арабинозид, Преднизолон. Дозировка препаратов в зависимости от возраста приведена в таблице 1[6].</w:t>
      </w: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(Табл 1)</w:t>
      </w:r>
    </w:p>
    <w:tbl>
      <w:tblPr>
        <w:tblStyle w:val="TableGrid"/>
        <w:tblInd w:w="0" w:type="dxa"/>
        <w:tblLayout w:type="fixed"/>
      </w:tblPr>
      <w:tblGrid>
        <w:gridCol w:w="3080"/>
        <w:gridCol w:w="3080"/>
        <w:gridCol w:w="3080"/>
      </w:tblGrid>
      <w:tr>
        <w:trPr/>
        <w:tc>
          <w:tcPr>
            <w:cnfStyle w:val="100010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Препарат</w:t>
            </w:r>
          </w:p>
        </w:tc>
        <w:tc>
          <w:tcPr>
            <w:cnfStyle w:val="100001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Дети до 1 года</w:t>
            </w:r>
          </w:p>
        </w:tc>
        <w:tc>
          <w:tcPr>
            <w:cnfStyle w:val="100010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Дети старше 1 года</w:t>
            </w:r>
          </w:p>
        </w:tc>
      </w:tr>
      <w:tr>
        <w:trPr/>
        <w:tc>
          <w:tcPr>
            <w:cnfStyle w:val="000010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Метотрексат</w:t>
            </w:r>
          </w:p>
        </w:tc>
        <w:tc>
          <w:tcPr>
            <w:cnfStyle w:val="000001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>мг</w:t>
            </w:r>
          </w:p>
        </w:tc>
        <w:tc>
          <w:tcPr>
            <w:cnfStyle w:val="000010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мг</w:t>
            </w:r>
          </w:p>
        </w:tc>
      </w:tr>
      <w:tr>
        <w:trPr/>
        <w:tc>
          <w:tcPr>
            <w:cnfStyle w:val="000010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Цитозина арабинозид</w:t>
            </w:r>
          </w:p>
        </w:tc>
        <w:tc>
          <w:tcPr>
            <w:cnfStyle w:val="000001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мг</w:t>
            </w:r>
          </w:p>
        </w:tc>
        <w:tc>
          <w:tcPr>
            <w:cnfStyle w:val="000010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</w:rPr>
              <w:t>мг</w:t>
            </w:r>
          </w:p>
        </w:tc>
      </w:tr>
      <w:tr>
        <w:trPr/>
        <w:tc>
          <w:tcPr>
            <w:cnfStyle w:val="000010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Преднизолон</w:t>
            </w:r>
          </w:p>
        </w:tc>
        <w:tc>
          <w:tcPr>
            <w:cnfStyle w:val="000001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>мг</w:t>
            </w:r>
          </w:p>
        </w:tc>
        <w:tc>
          <w:tcPr>
            <w:cnfStyle w:val="000010000000"/>
            <w:tcW w:w="3080" w:type="dxa"/>
          </w:tcPr>
          <w:p>
            <w:pPr>
              <w:spacing w:before="0" w:after="0" w:line="360" w:lineRule="auto"/>
              <w:ind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мг</w:t>
            </w:r>
          </w:p>
        </w:tc>
      </w:tr>
    </w:tbl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Осложнения со стороны ЦНС при ОЛ у детей подразделяются на индуцированные основным заболеванием и ассоциированные с лечением.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b/>
          <w:color w:val="000000"/>
          <w:sz w:val="28"/>
        </w:rPr>
        <w:t xml:space="preserve">Неврологические осложнения, связанные с основным заболеванием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Выделяют: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Пе</w:t>
      </w:r>
      <w:r>
        <w:rPr>
          <w:rFonts w:ascii="Times New Roman" w:hAnsi="Times New Roman"/>
          <w:color w:val="000000"/>
          <w:sz w:val="28"/>
        </w:rPr>
        <w:t>рвичную нейролейкемию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Нейролейкемию в структуре рецидива основного заболевания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Изолированным ЦНС- рецидивом считается: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выявление более чем 5 клеток в 1 мкл ликвора при остром лимфобластном лейкозе (ОЛЛ) и более 10 клеток для остро</w:t>
      </w:r>
      <w:r>
        <w:rPr>
          <w:rFonts w:ascii="Times New Roman" w:hAnsi="Times New Roman"/>
          <w:color w:val="000000"/>
          <w:sz w:val="28"/>
        </w:rPr>
        <w:t xml:space="preserve">го миелобластного лейкоза (ОМЛ), при этом клетки морфологически однозначно идентифицируются как бласты [7].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</w:rPr>
        <w:t>появление стойкой очаговой неврологической симптоматики и/или выявление структурных внутричерепных изменений на МРТ . Наиболее распространенными неврологическими симптомами при НЛ являются головная боль, нарушение поведения, судорожный синдром, а также вовлечение различных черепных нервов – зрительного, тройничного (особенно нижней ветви), лицевого и др[7]. (</w:t>
      </w:r>
      <w:r>
        <w:rPr>
          <w:rFonts w:ascii="Times New Roman" w:hAnsi="Times New Roman"/>
          <w:color w:val="000000"/>
          <w:sz w:val="28"/>
        </w:rPr>
        <w:t>рис 1).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 xmlns:mc="http://schemas.openxmlformats.org/markup-compatibility/2006">
          <wp:inline distT="0" distB="0" distL="0" distR="0">
            <wp:extent cx="3479165" cy="639699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639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рис. 1 (невропатия лицевого и глазодвигательного нервов) А-до развития рецидива; Б,В-перед началом терапии; Г, Д, Е-после лечения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</w:rPr>
        <w:t>Неврологические осложнения, связанные с проведением терапии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Нейротоксические реакции чаще всего </w:t>
      </w:r>
      <w:r>
        <w:rPr>
          <w:rFonts w:ascii="Times New Roman" w:hAnsi="Times New Roman"/>
          <w:color w:val="000000"/>
          <w:sz w:val="28"/>
        </w:rPr>
        <w:t xml:space="preserve">обусловлены интратекальным введением метотрексата (МТХ)[7].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группе риска по развитию НТР относятся дети старше 10 лет [7]. Наиболее часто из НТР регистрируют: </w:t>
      </w:r>
    </w:p>
    <w:p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задний возвратный синдром лейкоэнцефалопатии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состоит из клинических (головные боли, нарушение сознания, судороги, расстройства зрения) и радиологических (двусторонние относительно симметричные гиперинтенсивные </w:t>
      </w:r>
      <w:r>
        <w:rPr>
          <w:rFonts w:ascii="Times New Roman" w:hAnsi="Times New Roman"/>
          <w:color w:val="000000"/>
          <w:sz w:val="28"/>
        </w:rPr>
        <w:t>очаги, преимущественно в задних отделах головного мозга) симптомов, обусловлен развитием острого вазогенного отека головного мозга и обратимого повреждения субкортикального белого вещества в задних отделов мозга</w:t>
      </w:r>
      <w:r>
        <w:rPr>
          <w:rFonts w:ascii="Times New Roman" w:hAnsi="Times New Roman"/>
          <w:color w:val="000000"/>
          <w:sz w:val="28"/>
        </w:rPr>
        <w:t>х[8]</w:t>
      </w:r>
      <w:r>
        <w:rPr>
          <w:rFonts w:ascii="Times New Roman" w:hAnsi="Times New Roman"/>
          <w:color w:val="000000"/>
          <w:sz w:val="28"/>
        </w:rPr>
        <w:t xml:space="preserve">. </w:t>
      </w: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Клиника: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СЗОЛ развивается остро или подостро — от нескольких часов до нескольких суток, по данным разных авторов, возрастной диапазон колеблется от 11 до 70 лет или от 4 до 90 лет. Часто проявления возникают в контексте острой неконтролируемой артериальной гипертензии с систолическим артериальным давлением в диапазоне от 160 до 190 мм рт. ст. Клинические проявления включают цефалгию, тошноту и рвоту, различные формы эпилептических припадков (преимущественно парциальные, которые часто переходят во вторичною генерализованную форму с развитием эпилептического статуса), нарушение гнозиса и праксиса, расстройства сознания, различные виды расстройства </w:t>
      </w:r>
      <w:r>
        <w:rPr>
          <w:rFonts w:ascii="Times New Roman" w:hAnsi="Times New Roman"/>
          <w:color w:val="000000"/>
          <w:sz w:val="28"/>
        </w:rPr>
        <w:t xml:space="preserve">зрения (скотому, синдром Антона, корковую слепоту, гемианопсию, зрительные галлюцинации). Имеют место двигательные нарушения в виде парезов, чувствительных расстройств и нарушения координации, речевые расстройства [8]. </w:t>
      </w: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Патогенез: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Первая причина: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фоне повышенного АД происходит «срыв» сосудистой ауторегуляции и возникающая вазодилатация церебральных артериол приводит к гиперперфузии мозговой ткани и гидростатическому отеку [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]. </w:t>
      </w:r>
      <w:r>
        <w:rPr>
          <w:rFonts w:ascii="Times New Roman" w:hAnsi="Times New Roman"/>
          <w:color w:val="000000"/>
          <w:sz w:val="28"/>
        </w:rPr>
        <w:t xml:space="preserve">Артерии вертебрально-базилярной системы по сравнению с сосудами бассейна сонных артерий имеют более слабую симпатическую иннервацию и, следовательно, более чувствительны к резким повышениям АД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Вторая причина: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овреждение эндотелия и нарушение целостности гематоэнцефалического барьера, способствующее развитию отека мозга . </w:t>
      </w:r>
      <w:r>
        <w:rPr>
          <w:rFonts w:ascii="Times New Roman" w:hAnsi="Times New Roman"/>
          <w:color w:val="000000"/>
          <w:sz w:val="28"/>
        </w:rPr>
        <w:t xml:space="preserve">В патогенезе СЗОЛ определенная роль отводится некоторым лекарственным препаратам, изменяющим состояние гематоэнцефалического барьера или путем прямого токсического действия на эндотелий сосудов, или опосредованно, за счет стимулирования синтеза цитокинов, которые, в свою очередь, индуцируют повреждение клеток-мишеней . В частности, иммуносупрессивные или цитотоксические препараты (например, метотрексат) способны служить триггерами развития СЗОЛ даже через несколько месяцев после завершения их приема [8]. </w:t>
      </w: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Диагностика: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Нейровизуализация (КТ, преимущественно МРТ)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Признаки: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вазогенный отек в белом веществе задних отделов полушарий головного мозга. </w:t>
      </w:r>
      <w:r>
        <w:rPr>
          <w:rFonts w:ascii="Times New Roman" w:hAnsi="Times New Roman"/>
          <w:color w:val="000000"/>
          <w:sz w:val="28"/>
        </w:rPr>
        <w:t>По данным литературы, описаны случаи, при которых наблюдаются как лакунарные очаги нарушения диффузии, так и участки кровоизлияний, что не противоречит диагнозу . МРТ-паттерн СЗОЛ — билатеральные симметричные, существенно реже асимметричные изменения сигнала в субкортикальных и кортикальных областях теменной и затылочной долей [8]. Эти очаги исчезают на протяжении дней или нескольких недель [8]. Вазогенный отек может локализоваться не только в затылочнотеменной области (типичный характер его распределения), но и в лобных, височных долях головного мозга, мозжечке, стволе и базальных ядрах, что рассматривается как атипичный вариант [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]. По данным литературы, в процесс может вовлекаться также и спинной мозг . Вазогенный отек распространяется на серое вещество головного мозга (таламус, базальные ганглии) и субтенториальные структуры, особенно при высоких цифрах АД . Эти структуры снабжаются артериями мелкого калибра, отходящими от крупных артериальных стволов и вследствие этого подвержены влиянию высокого перфузионного давления. </w:t>
      </w: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Лечение: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гипотензивные препараты;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противоотечная терапия;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противосудорожная терапия;</w:t>
      </w:r>
    </w:p>
    <w:p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люмбосакральную радикулопатию (</w:t>
      </w:r>
      <w:r>
        <w:rPr>
          <w:rFonts w:ascii="Times New Roman" w:hAnsi="Times New Roman"/>
          <w:b/>
          <w:color w:val="000000"/>
          <w:sz w:val="28"/>
        </w:rPr>
        <w:t>боли в спине)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На втором месте по частоте – «химический менингит», при котором в ликворе выявляют умеренный гистиоцитарный плеоцитоз при отрицательной полимеразно</w:t>
      </w:r>
      <w:r>
        <w:rPr>
          <w:rFonts w:ascii="Times New Roman" w:hAnsi="Times New Roman"/>
          <w:color w:val="000000"/>
          <w:sz w:val="28"/>
        </w:rPr>
        <w:t xml:space="preserve">й цепной реакции на инфекционные агенты и отрицательном бактериологическом высеве [7]. </w:t>
      </w: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III.</w:t>
      </w:r>
      <w:r>
        <w:rPr>
          <w:rFonts w:ascii="Times New Roman" w:hAnsi="Times New Roman"/>
          <w:b/>
          <w:color w:val="000000"/>
          <w:sz w:val="28"/>
        </w:rPr>
        <w:t xml:space="preserve">Лечение нейротоксичности: 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262626"/>
          <w:sz w:val="28"/>
        </w:rPr>
        <w:t xml:space="preserve">При лечении периферической </w:t>
      </w:r>
      <w:r>
        <w:rPr>
          <w:rFonts w:ascii="Times New Roman" w:hAnsi="Times New Roman"/>
          <w:b/>
          <w:color w:val="262626"/>
          <w:sz w:val="28"/>
        </w:rPr>
        <w:t>нейропатии</w:t>
      </w:r>
      <w:r>
        <w:rPr>
          <w:rFonts w:ascii="Times New Roman" w:hAnsi="Times New Roman"/>
          <w:b/>
          <w:color w:val="262626"/>
          <w:sz w:val="28"/>
        </w:rPr>
        <w:t xml:space="preserve"> используются: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62626"/>
          <w:sz w:val="28"/>
        </w:rPr>
        <w:t>-</w:t>
      </w:r>
      <w:r>
        <w:rPr>
          <w:rFonts w:ascii="Times New Roman" w:hAnsi="Times New Roman"/>
          <w:color w:val="262626"/>
          <w:sz w:val="28"/>
        </w:rPr>
        <w:t>Никотиновая кислота;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62626"/>
          <w:sz w:val="28"/>
        </w:rPr>
        <w:t>-</w:t>
      </w:r>
      <w:r>
        <w:rPr>
          <w:rFonts w:ascii="Times New Roman" w:hAnsi="Times New Roman"/>
          <w:color w:val="262626"/>
          <w:sz w:val="28"/>
        </w:rPr>
        <w:t>Витамины В1, В6, В12;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62626"/>
          <w:sz w:val="28"/>
        </w:rPr>
        <w:t>-</w:t>
      </w:r>
      <w:r>
        <w:rPr>
          <w:rFonts w:ascii="Times New Roman" w:hAnsi="Times New Roman"/>
          <w:color w:val="262626"/>
          <w:sz w:val="28"/>
        </w:rPr>
        <w:t>Галантамин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262626"/>
          <w:sz w:val="28"/>
        </w:rPr>
        <w:t>При лечении центральной нейропатии используются: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62626"/>
          <w:sz w:val="28"/>
        </w:rPr>
        <w:t>-</w:t>
      </w:r>
      <w:r>
        <w:rPr>
          <w:rFonts w:ascii="Times New Roman" w:hAnsi="Times New Roman"/>
          <w:color w:val="262626"/>
          <w:sz w:val="28"/>
        </w:rPr>
        <w:t>Седативные средства;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62626"/>
          <w:sz w:val="28"/>
        </w:rPr>
        <w:t>-</w:t>
      </w:r>
      <w:r>
        <w:rPr>
          <w:rFonts w:ascii="Times New Roman" w:hAnsi="Times New Roman"/>
          <w:color w:val="262626"/>
          <w:sz w:val="28"/>
        </w:rPr>
        <w:t>Ноотропы;</w:t>
      </w:r>
    </w:p>
    <w:p>
      <w:pPr>
        <w:spacing w:before="0" w:after="0"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62626"/>
          <w:sz w:val="28"/>
        </w:rPr>
        <w:t>-</w:t>
      </w:r>
      <w:r>
        <w:rPr>
          <w:rFonts w:ascii="Times New Roman" w:hAnsi="Times New Roman"/>
          <w:color w:val="262626"/>
          <w:sz w:val="28"/>
        </w:rPr>
        <w:t>Сосудистые препараты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262626"/>
          <w:sz w:val="28"/>
        </w:rPr>
        <w:t>*</w:t>
      </w:r>
      <w:r>
        <w:rPr>
          <w:rFonts w:ascii="Times New Roman" w:hAnsi="Times New Roman"/>
          <w:color w:val="000000"/>
          <w:sz w:val="28"/>
        </w:rPr>
        <w:t>К наиболее исследованным с точки зрения профилактики нейротоксичности лекарственным препаратам относятся глютатион, глютамин, N-аце</w:t>
      </w:r>
      <w:r>
        <w:rPr>
          <w:rFonts w:ascii="Times New Roman" w:hAnsi="Times New Roman"/>
          <w:color w:val="000000"/>
          <w:sz w:val="28"/>
        </w:rPr>
        <w:t>тилцистеин, ксалипроден, комбинация глюконата кальция и сульфата магния (до и после окончания инфузии производных платины), амифостин [1].</w:t>
      </w: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IV.Примеры нейротоксического действия некоторых химиотерапевтических препаратов, применяемых в детской онкологической практике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Цисплатин</w:t>
      </w:r>
      <w:r>
        <w:rPr>
          <w:rFonts w:ascii="Times New Roman" w:hAnsi="Times New Roman"/>
          <w:color w:val="000000"/>
          <w:sz w:val="28"/>
        </w:rPr>
        <w:t xml:space="preserve"> — препарат платины, одной из особенностей которого является способность проникать через гематоэнцефалический барьер. В онкологической практике препарат используют для лечения нейро- и нефробластом, опухолей из эмбриональных клеток и первичных опухолей центральной нервной системы у детей и подростков [1]. При системном применении препарат способен проникать в центральную нервную систему, при этом происходит поражение гиппокампальных синапсов и клетокпредшественников. Для цисплатина, как и для других аналогов платины, наиболее характерно ототоксическое действие, которое является основной проблемой в детской онкологической практике [1]. В исследованиях, посвященных изучению потери слуха или снижению его остроты у детей, показано, что частота встречаемости ототоксических проявлений после приема цисплатина варьировала от 20 до 67 %. Такой широкий диапазон группа авторов связала с тем, что в ряде случаев не учитывались факторы и условия, которые могли усиливать ототоксический эффект цисплатина, в частности комбинация с другими химиотерапевтическими агентами. Так, например, комбинация цисплатина и карбоплатина, который в монотерапии обладает меньшим ототоксическим эффектом, определяла синергическое действие на функцию слухового нерва с более высоким риском ототоксичности у детей . Также пациенты, получающие химиотерапию цисплатином, имеют риск возникновения таких нейротоксических осложнений, как когнитивный дефицит, периферическая нейропатия.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Винкристин </w:t>
      </w:r>
      <w:r>
        <w:rPr>
          <w:rFonts w:ascii="Times New Roman" w:hAnsi="Times New Roman"/>
          <w:color w:val="000000"/>
          <w:sz w:val="28"/>
        </w:rPr>
        <w:t xml:space="preserve">— алкалоид барвинка; оказывает действие на субъединицу β-тубулина микротрубочек, которые являются важным компонентом аксонов нервных волокон. Производные барвинка вызывают периферическую полинейропатию с прогрессирующим поражением сенсорных и моторных волокон. Частота встречаемости химиоиндуцированных полинейропатий составляет от 20 до 100 %. Основные клинические проявления заболевания характеризуются изолированными расстройствами или сочетанием двигательных, сенсорных и вегетативных нарушений. Моторная нейропатия проявляется мышечной слабостью, атрофией мышц, снижением или потерей периферических глубоких сухожильных рефлексов [2]. При тяжелом течении болезни снижение диапазона движений ограничивает самообслуживание в повседневной жизни, приводит к нарушению походки, неспособности выполнять двигательные функции. У детей раннего возраста могут быть существенно отсрочены основные этапы развития моторики [3]. В верхних конечностях слабость проявляется нарушениями захвата мелких предметов, трудностями при действиях по самообслуживанию. Чувствительные расстройства обычно начинаются с дистальных отделов конечностей, симметрично по типу «перчаток» или «носков», распространяясь на проксимальные отделы.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ретроспективном исследовании Британского общества гематологии и группы по изучению детских случаев злокачественных новообразований и лейкемии Соединенного королевства в период с 2008 по 2014 г. проводилась оценка нейротоксического действия винкристина. Показано, что у 71 % детей, получавших лечение винкристином, зарегистрировано хотя бы одно проявление нейротоксичности препарата [3]. Авторы ранжировали нейротоксические эффекты по классам в зависимости от степени их клинической выраженности: класс 1 — субъективные ощущения слабости, умеренная парестезия или снижение сухожильных рефлексов; класс 2 — умеренно выраженная слабость, объективные признаки потери чувствительности; класс 3 — объективная слабость со снижением моторной функции, значительная степень чувствительных нарушений; класс 4 — паралич; класс 5 — летальный исход. При анализе винкристиновых полинейропатий отмечено, что моторные и вегетативные нарушения встречались заметно чаще, чем чувствительные, и составили 27, 24 и 14 % случаев соответственно. Нарушение моторной функции соответствовало преимущественно 2-му и 3-му классу, для вегетативной функции преобладающим был 1-й класс симптомов нейротоксичности винкристина.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Ифосфамид </w:t>
      </w:r>
      <w:r>
        <w:rPr>
          <w:rFonts w:ascii="Times New Roman" w:hAnsi="Times New Roman"/>
          <w:color w:val="000000"/>
          <w:sz w:val="28"/>
        </w:rPr>
        <w:t xml:space="preserve">— алкилирующий цитостатик из группы азотистого иприта. Частота возникновения нейротоксических осложнений при его использовании варьирует от 5 до 30 % в общей популяции, до 10 % у детей, по данным разных исследований [1]. Токсическое действие препарата определяется развитием метаболической энцефалопатии различной степени тяжести. Проявления энцефалопатии, ассоциированной с применением ифосфамида, характеризуется нарушением сознания в виде угнетения или психомоторного возбуждения. В ряде случаев отмечаются афазия, атаксия, судороги, недержание мочи. Симптомы чаще всего регистрируются при применении препарата в высоких дозах, нейротоксические нарушения обычно обратимые и регрессируют в период между 48 и 72 ч после отмены ифосфамида, хотя имеются данные о фатальных осложнениях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Цитарабин</w:t>
      </w:r>
      <w:r>
        <w:rPr>
          <w:rFonts w:ascii="Times New Roman" w:hAnsi="Times New Roman"/>
          <w:color w:val="000000"/>
          <w:sz w:val="28"/>
        </w:rPr>
        <w:t xml:space="preserve"> — пиримидиновый аналог, препарат, который широко используется в онкогематологии, в частности в схемах hyper-CVAD при лечении острого лимфобластного лейкоза и HiDAC при остром миелобластном лейкозе . Нейротоксическое действие препарата разнообразно: оно может проявляться корковыми нарушениями (расстройство сознания, когнитивный дефицит), периферической нейропатией. Однако поражение мозжечка является одним из наиболее частых проявлений нейротоксичности препарата . В исследованиях показано, что острое поражение мозжечка является дозозависимым и регистрируется при повышении суммарной дозы цитарабина до 36 г/м2 . </w:t>
      </w:r>
      <w:r>
        <w:rPr>
          <w:rFonts w:ascii="Times New Roman" w:hAnsi="Times New Roman"/>
          <w:color w:val="000000"/>
          <w:sz w:val="28"/>
        </w:rPr>
        <w:t>Патогенетический механизм нейротоксичности цитарабина до сих пор не уточнен. При патоморфологическом исследовании мозжечка пациентов отмечаются потеря клеток Пуркинье и реактивная пролиферация глиальных клеток, потеря вещества в молекулярных и зернистых слоях, редко наблюдается поражение глубоких ядер мозжечка . Нейротоксичность цитарабина может быть как обратимым побочным эффектом, так и фатальным осложнением. Острый мозжечковый синдром обычно начинает проявляться с общемозговых симптомов (сонливость, спутанность сознания, дезориентация, потеря памяти, когнитивная дисфункция), затем присоединяются симптомы мозжечковой недостаточности — атаксия, нарушение соразмерности и чередования движений, расстройство речи. Специфической терапии опосредованного цитарабином поражения мозжечка не существует. В литературе отмечается положительная динамика при использовании плазмафереза или глюкокортикостероидов (метилпреднизолон, дексаметазон) [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]. </w:t>
      </w: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Заключение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Современная химиотерапия существенно улучшила прогноз при многих онкологических заболеваниях у детей. Оценка успеха медикаментозного лечения во многом зависит от характера и степени тяжести токсических осложнений химиотерапевтических препаратов. Нейротоксичность является одной из важных и, к сожалению, наиболее частых проблем, которые возникают при проведении химиотерапии. 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Несмотря на активное изучение медикаментозных неврологических осложнений, наблюдается неуклонный рост токсических эффектов химиопрепаратов. В настоящее время не определены прогностические параметры нейротоксических реакций, остаются нерешенными вопросы стандартизации ведения таких пациентов. </w:t>
      </w:r>
      <w:r>
        <w:rPr>
          <w:rFonts w:ascii="Times New Roman" w:hAnsi="Times New Roman"/>
          <w:color w:val="000000"/>
          <w:sz w:val="28"/>
        </w:rPr>
        <w:t>Важными аспектами являются разработка новых методов диагностики, направленных на выявление в ранние сроки токсических реакций, групп высокого риска по формированию неврологических расстройств на фоне используемой химиотерапии, а также стандартизация ведения этих пациентов, основанная на внедрении эффективных способов профилактики нейротоксических осложнений, алгоритмов лечения и реабилитации пациентов с химиоиндуцированным поражением нервной системы. [1]</w:t>
      </w: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right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Список литературы: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О.П. Ковтун, В.В. Базарный, О.В. Корякина, А.Н. Абдуллаев. </w:t>
      </w:r>
      <w:r>
        <w:rPr>
          <w:rFonts w:ascii="Times New Roman" w:hAnsi="Times New Roman"/>
          <w:color w:val="000000"/>
          <w:sz w:val="28"/>
        </w:rPr>
        <w:t>Статья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Нейротоксические осложнения химиотерапии у детей. Обзор литературы 24.01.2020</w:t>
      </w:r>
      <w:r>
        <w:rPr>
          <w:rFonts w:ascii="Times New Roman" w:hAnsi="Times New Roman"/>
          <w:color w:val="000000"/>
          <w:sz w:val="28"/>
        </w:rPr>
        <w:t>г. Педиатрическая фармакология 2020, том 17, №1: 1-17.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Сунил Гомбер, Пуджа Деван. Статья Нейротоксичность, вызванная Винкристином у онкологических больных 2019г. Индийский журнал педиатрии 77 (1):97-100.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 xml:space="preserve">Британское общество гематологии и Британская детская группа по борьбе с раком и лейкемией. </w:t>
      </w:r>
      <w:r>
        <w:rPr>
          <w:rFonts w:ascii="Times New Roman" w:hAnsi="Times New Roman"/>
          <w:color w:val="000000"/>
          <w:sz w:val="28"/>
        </w:rPr>
        <w:t xml:space="preserve">Статья </w:t>
      </w:r>
      <w:r>
        <w:rPr>
          <w:rFonts w:ascii="Times New Roman" w:hAnsi="Times New Roman"/>
          <w:color w:val="000000"/>
          <w:sz w:val="28"/>
        </w:rPr>
        <w:t>Исследование нейротоксичности винкристина у пациентов с детской гематологией / онкологией: роль генотипирования</w:t>
      </w:r>
      <w:r>
        <w:rPr>
          <w:rFonts w:ascii="Times New Roman" w:hAnsi="Times New Roman"/>
          <w:color w:val="000000"/>
          <w:sz w:val="28"/>
        </w:rPr>
        <w:t xml:space="preserve"> 2016</w:t>
      </w:r>
      <w:r>
        <w:rPr>
          <w:rFonts w:ascii="Times New Roman" w:hAnsi="Times New Roman"/>
          <w:color w:val="000000"/>
          <w:sz w:val="28"/>
        </w:rPr>
        <w:t>г.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Том 101 (1).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И.Н. Шакирова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Нейротоксичность современных цитостатиков 2021г. Том 3 (2).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А.И. Семенова кардио- и нейротоксичность противоопухолевых препаратов 2019г.Практическая онкология Том 10 (3).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>Клинические рекомендации “Острый лимфобластный лейкоз” 2020г.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Л.М. Щугарева, А.С. Иова, О.В. Иванова, Э.Г. Бойченко, И.А. Гарбузова, Н.В. Станчева, С.Н. Бондаренко, Т.А. Хуторная, Л.С. Зубаровская </w:t>
      </w:r>
      <w:r>
        <w:rPr>
          <w:rFonts w:ascii="Times New Roman" w:hAnsi="Times New Roman"/>
          <w:color w:val="000000"/>
          <w:sz w:val="28"/>
        </w:rPr>
        <w:t xml:space="preserve">Неврологические осложнения при острой лейкемии у детей. </w:t>
      </w:r>
      <w:r>
        <w:rPr>
          <w:rFonts w:ascii="Times New Roman" w:hAnsi="Times New Roman"/>
          <w:color w:val="000000"/>
          <w:sz w:val="28"/>
        </w:rPr>
        <w:t>Том 8 (4), 2014г.</w:t>
      </w: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</w:t>
      </w:r>
      <w:r>
        <w:rPr>
          <w:rFonts w:ascii="Times New Roman" w:hAnsi="Times New Roman"/>
          <w:color w:val="000000"/>
          <w:sz w:val="28"/>
        </w:rPr>
        <w:t>Юсупов Ф.А., Юлдашев А.А., Ормонова Г.М., Абдыкадыров М.Ш. Синдром задней обратимой лейкоэнцефалопатии. Практическая медицина. 2022г. Том 20 (2), 30-36.</w:t>
      </w:r>
    </w:p>
    <w:p>
      <w:pPr>
        <w:spacing w:before="0" w:after="0" w:line="240" w:lineRule="auto"/>
        <w:ind w:left="0" w:right="0" w:firstLine="0"/>
        <w:jc w:val="left"/>
        <w:rPr>
          <w:rFonts w:ascii="Segoe UI" w:hAnsi="Segoe UI"/>
          <w:color w:val="000000"/>
          <w:sz w:val="18"/>
        </w:rPr>
      </w:pPr>
    </w:p>
    <w:p>
      <w:pPr>
        <w:spacing w:before="0" w:after="0" w:line="240" w:lineRule="auto"/>
        <w:ind w:left="0" w:right="0" w:firstLine="0"/>
        <w:jc w:val="left"/>
        <w:rPr>
          <w:rFonts w:ascii="Segoe UI" w:hAnsi="Segoe UI"/>
          <w:color w:val="000000"/>
          <w:sz w:val="18"/>
        </w:rPr>
      </w:pPr>
    </w:p>
    <w:p>
      <w:pPr>
        <w:spacing w:before="0" w:after="0" w:line="240" w:lineRule="auto"/>
        <w:ind w:left="0" w:right="0" w:firstLine="0"/>
        <w:jc w:val="left"/>
        <w:rPr>
          <w:rFonts w:ascii="Segoe UI" w:hAnsi="Segoe UI"/>
          <w:color w:val="000000"/>
          <w:sz w:val="18"/>
        </w:rPr>
      </w:pPr>
    </w:p>
    <w:p>
      <w:pPr>
        <w:spacing w:before="0" w:after="0" w:line="240" w:lineRule="auto"/>
        <w:ind w:left="0" w:right="0" w:firstLine="0"/>
        <w:jc w:val="left"/>
        <w:rPr>
          <w:rFonts w:ascii="Segoe UI" w:hAnsi="Segoe UI"/>
          <w:color w:val="000000"/>
          <w:sz w:val="18"/>
        </w:rPr>
      </w:pPr>
    </w:p>
    <w:p>
      <w:pPr>
        <w:spacing w:before="0" w:after="0" w:line="240" w:lineRule="auto"/>
        <w:ind w:left="0" w:right="0" w:firstLine="0"/>
        <w:jc w:val="left"/>
        <w:rPr>
          <w:rFonts w:ascii="Segoe UI" w:hAnsi="Segoe UI"/>
          <w:color w:val="000000"/>
          <w:sz w:val="18"/>
        </w:rPr>
      </w:pPr>
    </w:p>
    <w:p>
      <w:pPr>
        <w:spacing w:before="0" w:after="0" w:line="240" w:lineRule="auto"/>
        <w:ind w:left="0" w:right="0" w:firstLine="0"/>
        <w:jc w:val="left"/>
        <w:rPr>
          <w:rFonts w:ascii="Segoe UI" w:hAnsi="Segoe UI"/>
          <w:color w:val="000000"/>
          <w:sz w:val="1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8"/>
        </w:rPr>
      </w:pPr>
    </w:p>
    <w:p>
      <w:pPr>
        <w:spacing w:line="360" w:lineRule="auto"/>
        <w:jc w:val="left"/>
        <w:rPr>
          <w:rFonts w:ascii="Times New Roman" w:hAnsi="Times New Roman"/>
          <w:b w:val="off"/>
          <w:sz w:val="28"/>
        </w:rPr>
      </w:pPr>
    </w:p>
    <w:sectPr>
      <w:headerReference w:type="default" r:id="rId14"/>
      <w:headerReference w:type="first" r:id="rId15"/>
      <w:footerReference w:type="default" r:id="rId16"/>
      <w:footerReference w:type="first" r:id="rId17"/>
      <w:type w:val="nextPage"/>
      <w:pgSz w:w="11906" w:h="16838" w:orient="portrait"/>
      <w:pgMar w:top="1134" w:right="567" w:bottom="1134" w:left="1417" w:header="708" w:footer="708" w:gutter="0"/>
      <w:pgNumType w:fmt="decimal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  <w:font w:name="Segoe UI"/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>
  <w:p>
    <w:pPr>
      <w:framePr w:hAnchor="margin" w:vAnchor="text" w:wrap="around" w:xAlign="right" w:y="1"/>
      <w:rPr/>
    </w:pPr>
    <w:r>
      <w:fldChar w:fldCharType="begin"/>
    </w:r>
    <w:r>
      <w:instrText xml:space="preserve">PAGE </w:instrText>
    </w:r>
    <w:r>
      <w:fldChar w:fldCharType="end"/>
    </w:r>
  </w:p>
  <w:p>
    <w:pPr>
      <w:spacing w:after="0" w:line="240" w:lineRule="auto"/>
      <w:jc w:val="right"/>
      <w:rPr/>
    </w:pPr>
  </w:p>
  <w:p>
    <w:pPr>
      <w:spacing w:after="0" w:line="240" w:lineRule="auto"/>
      <w:jc w:val="right"/>
      <w:rPr/>
    </w:pPr>
  </w:p>
  <w:p>
    <w:pPr>
      <w:spacing w:after="0" w:line="240" w:lineRule="auto"/>
      <w:rPr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>
  <w:p>
    <w:pPr>
      <w:spacing w:after="0" w:line="240" w:lineRule="auto"/>
      <w:rPr/>
    </w:pPr>
  </w:p>
  <w:p>
    <w:pPr>
      <w:spacing w:after="0" w:line="240" w:lineRule="auto"/>
      <w:rPr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spacing w:after="0" w:line="240" w:lineRule="auto"/>
      <w:ind/>
      <w:jc w:val="right"/>
    </w:pPr>
  </w:p>
  <w:p w14:paraId="06000000">
    <w:pPr>
      <w:spacing w:after="0" w:line="240" w:lineRule="auto"/>
      <w:ind/>
      <w:jc w:val="right"/>
    </w:pPr>
  </w:p>
  <w:p w14:paraId="07000000">
    <w:pPr>
      <w:spacing w:after="0" w:line="240" w:lineRule="auto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>
  <w:p>
    <w:pPr>
      <w:spacing w:after="0" w:line="240" w:lineRule="auto"/>
      <w:rPr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>
  <w:p>
    <w:pPr>
      <w:spacing w:after="0" w:line="240" w:lineRule="auto"/>
      <w:rPr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spacing w:after="0" w:line="240" w:lineRule="auto"/>
      <w:ind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default="1" w:styleId="Normal">
    <w:name w:val="Normal"/>
    <w:uiPriority w:val="99"/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Heading7">
    <w:name w:val="Heading 7"/>
    <w:basedOn w:val="Normal"/>
    <w:uiPriority w:val="99"/>
    <w:rPr>
      <w:rFonts w:asciiTheme="majorAscii" w:hAnsiTheme="majorHAnsi"/>
      <w:i/>
      <w:color w:val="404040" w:themeColor="text1" w:themeTint="bf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DefaultParagraphFont">
    <w:name w:val="Default Paragraph Font"/>
    <w:uiPriority w:val="99"/>
  </w:style>
  <w:style w:type="character" w:styleId="Heading3">
    <w:name w:val="Heading 3"/>
    <w:basedOn w:val="Normal"/>
    <w:uiPriority w:val="99"/>
    <w:rPr>
      <w:rFonts w:asciiTheme="majorAscii" w:hAnsiTheme="majorHAnsi"/>
      <w:b/>
      <w:color w:val="4472c4" w:themeColor="accent1"/>
    </w:rPr>
  </w:style>
  <w:style w:type="character" w:styleId="IntenseQuote">
    <w:name w:val="Intense Quote"/>
    <w:basedOn w:val="Normal"/>
    <w:uiPriority w:val="99"/>
    <w:rPr>
      <w:b/>
      <w:i/>
      <w:color w:val="4472c4" w:themeColor="accent1"/>
    </w:rPr>
  </w:style>
  <w:style w:type="character" w:styleId="PlainText">
    <w:name w:val="Plain Text"/>
    <w:basedOn w:val="Normal"/>
    <w:uiPriority w:val="99"/>
    <w:rPr>
      <w:rFonts w:ascii="Courier New" w:hAnsi="Courier New"/>
      <w:sz w:val="21"/>
    </w:rPr>
  </w:style>
  <w:style w:type="character" w:styleId="Heading9">
    <w:name w:val="Heading 9"/>
    <w:basedOn w:val="Normal"/>
    <w:uiPriority w:val="99"/>
    <w:rPr>
      <w:rFonts w:asciiTheme="majorAscii" w:hAnsiTheme="majorHAnsi"/>
      <w:i/>
      <w:color w:val="404040" w:themeColor="text1" w:themeTint="bf"/>
      <w:sz w:val="20"/>
    </w:rPr>
  </w:style>
  <w:style w:type="character" w:styleId="Header">
    <w:name w:val="Header"/>
    <w:basedOn w:val="Normal"/>
    <w:uiPriority w:val="99"/>
  </w:style>
  <w:style w:type="character" w:styleId="Footer">
    <w:name w:val="Footer"/>
    <w:basedOn w:val="Normal"/>
    <w:uiPriority w:val="99"/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Endnotetext">
    <w:name w:val="Endnote text"/>
    <w:basedOn w:val="Normal"/>
    <w:uiPriority w:val="99"/>
    <w:rPr>
      <w:sz w:val="20"/>
    </w:rPr>
  </w:style>
  <w:style w:type="character" w:styleId="ListParagraph">
    <w:name w:val="List Paragraph"/>
    <w:basedOn w:val="Normal"/>
    <w:uiPriority w:val="99"/>
  </w:style>
  <w:style w:type="character" w:styleId="Heading5">
    <w:name w:val="Heading 5"/>
    <w:basedOn w:val="Normal"/>
    <w:uiPriority w:val="99"/>
    <w:rPr>
      <w:rFonts w:asciiTheme="majorAscii" w:hAnsiTheme="majorHAnsi"/>
      <w:color w:val="1f3763" w:themeColor="accent1" w:themeShade="7f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Heading1">
    <w:name w:val="Heading 1"/>
    <w:basedOn w:val="Normal"/>
    <w:uiPriority w:val="99"/>
    <w:rPr>
      <w:rFonts w:asciiTheme="majorAscii" w:hAnsiTheme="majorHAnsi"/>
      <w:b/>
      <w:color w:val="2f5395" w:themeColor="accent1" w:themeShade="bf"/>
      <w:sz w:val="28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character" w:styleId="Footnote">
    <w:name w:val="Footnote"/>
    <w:basedOn w:val="Normal"/>
    <w:uiPriority w:val="99"/>
    <w:rPr>
      <w:sz w:val="20"/>
    </w:rPr>
  </w:style>
  <w:style w:type="character" w:styleId="Heading8">
    <w:name w:val="Heading 8"/>
    <w:basedOn w:val="Normal"/>
    <w:uiPriority w:val="99"/>
    <w:rPr>
      <w:rFonts w:asciiTheme="majorAscii" w:hAnsiTheme="majorHAnsi"/>
      <w:color w:val="404040" w:themeColor="text1" w:themeTint="bf"/>
      <w:sz w:val="20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BookTitle">
    <w:name w:val="Book Title"/>
    <w:basedOn w:val="DefaultParagraphFont"/>
    <w:uiPriority w:val="99"/>
    <w:rPr>
      <w:b/>
      <w:smallCaps/>
      <w:spacing w:val="5"/>
    </w:rPr>
  </w:style>
  <w:style w:type="character" w:styleId="IntenseEmphasis">
    <w:name w:val="Intense Emphasis"/>
    <w:basedOn w:val="DefaultParagraphFont"/>
    <w:uiPriority w:val="99"/>
    <w:rPr>
      <w:b/>
      <w:i/>
      <w:color w:val="4472c4" w:themeColor="accent1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SubtleReference">
    <w:name w:val="Subtle Reference"/>
    <w:basedOn w:val="DefaultParagraphFont"/>
    <w:uiPriority w:val="99"/>
    <w:rPr>
      <w:smallCaps/>
      <w:color w:val="ed7d31" w:themeColor="accent2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IntenseReference">
    <w:name w:val="Intense Reference"/>
    <w:basedOn w:val="DefaultParagraphFont"/>
    <w:uiPriority w:val="99"/>
    <w:rPr>
      <w:b/>
      <w:smallCaps/>
      <w:color w:val="ed7d31" w:themeColor="accent2"/>
      <w:spacing w:val="5"/>
      <w:u w:val="single"/>
    </w:rPr>
  </w:style>
  <w:style w:type="character" w:styleId="SubtleEmphasis">
    <w:name w:val="Subtle Emphasis"/>
    <w:basedOn w:val="DefaultParagraphFont"/>
    <w:uiPriority w:val="99"/>
    <w:rPr>
      <w:i/>
      <w:color w:val="808080" w:themeColor="text1" w:themeTint="7f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NoSpacing">
    <w:name w:val="No Spacing"/>
    <w:uiPriority w:val="99"/>
  </w:style>
  <w:style w:type="character" w:styleId="Emphasis">
    <w:name w:val="Emphasis"/>
    <w:basedOn w:val="DefaultParagraphFont"/>
    <w:uiPriority w:val="99"/>
    <w:rPr>
      <w:i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Quote">
    <w:name w:val="Quote"/>
    <w:basedOn w:val="Normal"/>
    <w:uiPriority w:val="99"/>
    <w:rPr>
      <w:i/>
      <w:color w:val="000000" w:themeColor="text1"/>
    </w:rPr>
  </w:style>
  <w:style w:type="character" w:styleId="Strong">
    <w:name w:val="Strong"/>
    <w:basedOn w:val="DefaultParagraphFont"/>
    <w:uiPriority w:val="99"/>
    <w:rPr>
      <w:b/>
    </w:rPr>
  </w:style>
  <w:style w:type="character" w:styleId="Subtitle">
    <w:name w:val="Subtitle"/>
    <w:basedOn w:val="Normal"/>
    <w:uiPriority w:val="99"/>
    <w:rPr>
      <w:rFonts w:asciiTheme="majorAscii" w:hAnsiTheme="majorHAnsi"/>
      <w:i/>
      <w:color w:val="4472c4" w:themeColor="accent1"/>
      <w:spacing w:val="15"/>
      <w:sz w:val="24"/>
    </w:rPr>
  </w:style>
  <w:style w:type="character" w:styleId="Title">
    <w:name w:val="Title"/>
    <w:basedOn w:val="Normal"/>
    <w:uiPriority w:val="99"/>
    <w:rPr>
      <w:rFonts w:asciiTheme="majorAscii" w:hAnsiTheme="majorHAnsi"/>
      <w:color w:val="333f4f" w:themeColor="text2" w:themeShade="bf"/>
      <w:spacing w:val="5"/>
      <w:sz w:val="52"/>
    </w:rPr>
  </w:style>
  <w:style w:type="character" w:styleId="Heading4">
    <w:name w:val="Heading 4"/>
    <w:basedOn w:val="Normal"/>
    <w:uiPriority w:val="99"/>
    <w:rPr>
      <w:rFonts w:asciiTheme="majorAscii" w:hAnsiTheme="majorHAnsi"/>
      <w:b/>
      <w:i/>
      <w:color w:val="4472c4" w:themeColor="accent1"/>
    </w:rPr>
  </w:style>
  <w:style w:type="character" w:styleId="Heading2">
    <w:name w:val="Heading 2"/>
    <w:basedOn w:val="Normal"/>
    <w:uiPriority w:val="99"/>
    <w:rPr>
      <w:rFonts w:asciiTheme="majorAscii" w:hAnsiTheme="majorHAnsi"/>
      <w:b/>
      <w:color w:val="4472c4" w:themeColor="accent1"/>
      <w:sz w:val="26"/>
    </w:rPr>
  </w:style>
  <w:style w:type="character" w:styleId="Heading6">
    <w:name w:val="Heading 6"/>
    <w:basedOn w:val="Normal"/>
    <w:uiPriority w:val="99"/>
    <w:rPr>
      <w:rFonts w:asciiTheme="majorAscii" w:hAnsiTheme="majorHAnsi"/>
      <w:i/>
      <w:color w:val="1f3763" w:themeColor="accent1" w:themeShade="7f"/>
    </w:rPr>
  </w:style>
  <w:style w:type="table" w:styleId="TableGrid">
    <w:name w:val="Table Grid"/>
    <w:basedOn w:val="NormalTable"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header" Target="header1.xml"/><Relationship Id="rId11" Type="http://schemas.openxmlformats.org/officeDocument/2006/relationships/theme" Target="theme/theme1.xml"/><Relationship Id="rId12" Type="http://schemas.openxmlformats.org/officeDocument/2006/relationships/numbering" Target="numbering.xml"/><Relationship Id="rId13" Type="http://schemas.openxmlformats.org/officeDocument/2006/relationships/image" Target="media/image1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footer" Target="footer2.xml"/><Relationship Id="rId3" Type="http://schemas.openxmlformats.org/officeDocument/2006/relationships/header" Target="header3.xml"/><Relationship Id="rId4" Type="http://schemas.openxmlformats.org/officeDocument/2006/relationships/footer" Target="foot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styles" Target="styles.xml"/><Relationship Id="rId5" Type="http://schemas.openxmlformats.org/officeDocument/2006/relationships/image" Target="media/1.png"/><Relationship Id="rId9" Type="http://schemas.microsoft.com/office/2007/relationships/stylesWithEffects" Target="stylesWithEffects.xml"/><Relationship Id="rId10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MyOffice-CoreFramework-iOS/26-1013.725.7189.647.24@RELEASE-CORE-26.0-RC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