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96"/>
        <w:tblW w:w="0" w:type="auto"/>
        <w:tblLook w:val="04A0" w:firstRow="1" w:lastRow="0" w:firstColumn="1" w:lastColumn="0" w:noHBand="0" w:noVBand="1"/>
      </w:tblPr>
      <w:tblGrid>
        <w:gridCol w:w="3201"/>
        <w:gridCol w:w="2050"/>
        <w:gridCol w:w="2379"/>
        <w:gridCol w:w="1941"/>
      </w:tblGrid>
      <w:tr w:rsidR="00C1100B" w:rsidRPr="000F259A" w:rsidTr="00C06295">
        <w:tc>
          <w:tcPr>
            <w:tcW w:w="2392" w:type="dxa"/>
          </w:tcPr>
          <w:p w:rsidR="00C06295" w:rsidRPr="00A045E2" w:rsidRDefault="00C06295" w:rsidP="00C06295">
            <w:pPr>
              <w:pStyle w:val="a4"/>
              <w:suppressAutoHyphens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/>
                <w:b/>
                <w:sz w:val="28"/>
                <w:szCs w:val="28"/>
              </w:rPr>
              <w:t>Фармако</w:t>
            </w:r>
            <w:proofErr w:type="spellEnd"/>
            <w:r w:rsidRPr="00A045E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  <w:p w:rsidR="006B5D4E" w:rsidRPr="00A045E2" w:rsidRDefault="00C06295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b/>
                <w:sz w:val="28"/>
                <w:szCs w:val="28"/>
              </w:rPr>
              <w:t>терапевтическая группа</w:t>
            </w:r>
          </w:p>
        </w:tc>
        <w:tc>
          <w:tcPr>
            <w:tcW w:w="2393" w:type="dxa"/>
          </w:tcPr>
          <w:p w:rsidR="006B5D4E" w:rsidRPr="00A045E2" w:rsidRDefault="00C06295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b/>
                <w:sz w:val="28"/>
                <w:szCs w:val="28"/>
              </w:rPr>
              <w:t>ТН</w:t>
            </w:r>
          </w:p>
        </w:tc>
        <w:tc>
          <w:tcPr>
            <w:tcW w:w="2393" w:type="dxa"/>
          </w:tcPr>
          <w:p w:rsidR="006B5D4E" w:rsidRPr="00A045E2" w:rsidRDefault="00C06295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b/>
                <w:sz w:val="28"/>
                <w:szCs w:val="28"/>
              </w:rPr>
              <w:t>МНН</w:t>
            </w:r>
          </w:p>
        </w:tc>
        <w:tc>
          <w:tcPr>
            <w:tcW w:w="2393" w:type="dxa"/>
          </w:tcPr>
          <w:p w:rsidR="006B5D4E" w:rsidRPr="00A045E2" w:rsidRDefault="00C06295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</w:tc>
      </w:tr>
      <w:tr w:rsidR="00C1100B" w:rsidRPr="000F259A" w:rsidTr="00C06295">
        <w:tc>
          <w:tcPr>
            <w:tcW w:w="2392" w:type="dxa"/>
          </w:tcPr>
          <w:p w:rsidR="006B5D4E" w:rsidRPr="00A045E2" w:rsidRDefault="006B5D4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НПВП</w:t>
            </w:r>
          </w:p>
        </w:tc>
        <w:tc>
          <w:tcPr>
            <w:tcW w:w="2393" w:type="dxa"/>
          </w:tcPr>
          <w:p w:rsidR="006B5D4E" w:rsidRPr="00A045E2" w:rsidRDefault="006B5D4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Нимесил</w:t>
            </w:r>
            <w:proofErr w:type="spellEnd"/>
          </w:p>
        </w:tc>
        <w:tc>
          <w:tcPr>
            <w:tcW w:w="2393" w:type="dxa"/>
          </w:tcPr>
          <w:p w:rsidR="006B5D4E" w:rsidRPr="00A045E2" w:rsidRDefault="006B5D4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Нимесулид</w:t>
            </w:r>
            <w:proofErr w:type="spellEnd"/>
          </w:p>
        </w:tc>
        <w:tc>
          <w:tcPr>
            <w:tcW w:w="2393" w:type="dxa"/>
          </w:tcPr>
          <w:p w:rsidR="006B5D4E" w:rsidRPr="00A045E2" w:rsidRDefault="006B5D4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М01АХ17</w:t>
            </w:r>
          </w:p>
        </w:tc>
      </w:tr>
      <w:tr w:rsidR="00C1100B" w:rsidRPr="000F259A" w:rsidTr="00C06295">
        <w:tc>
          <w:tcPr>
            <w:tcW w:w="2392" w:type="dxa"/>
          </w:tcPr>
          <w:p w:rsidR="006B5D4E" w:rsidRPr="00A045E2" w:rsidRDefault="006B5D4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Венотонизирующее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венопротекторное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</w:p>
        </w:tc>
        <w:tc>
          <w:tcPr>
            <w:tcW w:w="2393" w:type="dxa"/>
          </w:tcPr>
          <w:p w:rsidR="006B5D4E" w:rsidRPr="00A045E2" w:rsidRDefault="006B5D4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Венарус</w:t>
            </w:r>
            <w:proofErr w:type="spellEnd"/>
          </w:p>
        </w:tc>
        <w:tc>
          <w:tcPr>
            <w:tcW w:w="2393" w:type="dxa"/>
          </w:tcPr>
          <w:p w:rsidR="006B5D4E" w:rsidRDefault="00A045E2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Гесперидин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045E2" w:rsidRPr="00A045E2" w:rsidRDefault="00A045E2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Диосмин</w:t>
            </w:r>
            <w:proofErr w:type="spellEnd"/>
          </w:p>
        </w:tc>
        <w:tc>
          <w:tcPr>
            <w:tcW w:w="2393" w:type="dxa"/>
          </w:tcPr>
          <w:p w:rsidR="006B5D4E" w:rsidRPr="00A045E2" w:rsidRDefault="006B5D4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С05СА53</w:t>
            </w:r>
          </w:p>
        </w:tc>
      </w:tr>
      <w:tr w:rsidR="00C1100B" w:rsidRPr="000F259A" w:rsidTr="00C06295">
        <w:tc>
          <w:tcPr>
            <w:tcW w:w="2392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функциональных расстройств </w:t>
            </w: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ЖКТ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апаверин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производные</w:t>
            </w:r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Но-шпа</w:t>
            </w:r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A03AD02</w:t>
            </w:r>
          </w:p>
        </w:tc>
      </w:tr>
      <w:tr w:rsidR="00C1100B" w:rsidRPr="000F259A" w:rsidTr="00C06295">
        <w:tc>
          <w:tcPr>
            <w:tcW w:w="2392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Диуретическое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C03CA01</w:t>
            </w:r>
          </w:p>
        </w:tc>
      </w:tr>
      <w:tr w:rsidR="00C1100B" w:rsidRPr="000F259A" w:rsidTr="00C06295">
        <w:tc>
          <w:tcPr>
            <w:tcW w:w="2392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Противоконгестивное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ср-</w:t>
            </w: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(альфа-</w:t>
            </w: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адреномиметик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Лазолван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Рино</w:t>
            </w:r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Трамазолин</w:t>
            </w:r>
            <w:proofErr w:type="spellEnd"/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R01AA09</w:t>
            </w:r>
          </w:p>
        </w:tc>
      </w:tr>
      <w:tr w:rsidR="00C1100B" w:rsidRPr="000F259A" w:rsidTr="00C06295">
        <w:tc>
          <w:tcPr>
            <w:tcW w:w="2392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Противоаллергическое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Цитрин</w:t>
            </w:r>
          </w:p>
        </w:tc>
        <w:tc>
          <w:tcPr>
            <w:tcW w:w="2393" w:type="dxa"/>
          </w:tcPr>
          <w:p w:rsidR="006B5D4E" w:rsidRPr="00A045E2" w:rsidRDefault="001D7CD7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2393" w:type="dxa"/>
          </w:tcPr>
          <w:p w:rsidR="006B5D4E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R06AE0</w:t>
            </w: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100B" w:rsidRPr="000F259A" w:rsidTr="00C06295">
        <w:tc>
          <w:tcPr>
            <w:tcW w:w="2392" w:type="dxa"/>
          </w:tcPr>
          <w:p w:rsidR="006B5D4E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Противовоспалительное, антибактериальное, противогрибковое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</w:p>
        </w:tc>
        <w:tc>
          <w:tcPr>
            <w:tcW w:w="2393" w:type="dxa"/>
          </w:tcPr>
          <w:p w:rsidR="006B5D4E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Тридерм</w:t>
            </w:r>
            <w:proofErr w:type="spellEnd"/>
          </w:p>
        </w:tc>
        <w:tc>
          <w:tcPr>
            <w:tcW w:w="2393" w:type="dxa"/>
          </w:tcPr>
          <w:p w:rsidR="006B5D4E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6B5D4E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D07XC01</w:t>
            </w:r>
          </w:p>
        </w:tc>
      </w:tr>
      <w:tr w:rsidR="00B3268E" w:rsidRPr="000F259A" w:rsidTr="00C06295">
        <w:tc>
          <w:tcPr>
            <w:tcW w:w="2392" w:type="dxa"/>
          </w:tcPr>
          <w:p w:rsidR="001D7CD7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Гипотензивное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комбинированное </w:t>
            </w:r>
          </w:p>
        </w:tc>
        <w:tc>
          <w:tcPr>
            <w:tcW w:w="2393" w:type="dxa"/>
          </w:tcPr>
          <w:p w:rsidR="001D7CD7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Тенорик</w:t>
            </w:r>
            <w:proofErr w:type="spellEnd"/>
          </w:p>
        </w:tc>
        <w:tc>
          <w:tcPr>
            <w:tcW w:w="2393" w:type="dxa"/>
          </w:tcPr>
          <w:p w:rsidR="00C1100B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D7CD7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Хлорталидон</w:t>
            </w:r>
            <w:proofErr w:type="spellEnd"/>
          </w:p>
        </w:tc>
        <w:tc>
          <w:tcPr>
            <w:tcW w:w="2393" w:type="dxa"/>
          </w:tcPr>
          <w:p w:rsidR="001D7CD7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C07BH03</w:t>
            </w:r>
          </w:p>
        </w:tc>
      </w:tr>
      <w:tr w:rsidR="00C1100B" w:rsidRPr="000F259A" w:rsidTr="00C06295">
        <w:tc>
          <w:tcPr>
            <w:tcW w:w="2392" w:type="dxa"/>
          </w:tcPr>
          <w:p w:rsidR="00C1100B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Гипергликемическое</w:t>
            </w:r>
            <w:proofErr w:type="gram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ср-во группы </w:t>
            </w: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бигуанидов</w:t>
            </w:r>
            <w:proofErr w:type="spellEnd"/>
          </w:p>
        </w:tc>
        <w:tc>
          <w:tcPr>
            <w:tcW w:w="2393" w:type="dxa"/>
          </w:tcPr>
          <w:p w:rsidR="00C1100B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Глюкофаж</w:t>
            </w:r>
            <w:proofErr w:type="spellEnd"/>
          </w:p>
        </w:tc>
        <w:tc>
          <w:tcPr>
            <w:tcW w:w="2393" w:type="dxa"/>
          </w:tcPr>
          <w:p w:rsidR="00C1100B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Метфармин</w:t>
            </w:r>
            <w:proofErr w:type="spellEnd"/>
          </w:p>
        </w:tc>
        <w:tc>
          <w:tcPr>
            <w:tcW w:w="2393" w:type="dxa"/>
          </w:tcPr>
          <w:p w:rsidR="00C1100B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A10BA02</w:t>
            </w:r>
          </w:p>
        </w:tc>
      </w:tr>
      <w:tr w:rsidR="00B3268E" w:rsidRPr="000F259A" w:rsidTr="00C06295">
        <w:tc>
          <w:tcPr>
            <w:tcW w:w="2392" w:type="dxa"/>
          </w:tcPr>
          <w:p w:rsidR="001D7CD7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Противовирусное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</w:p>
        </w:tc>
        <w:tc>
          <w:tcPr>
            <w:tcW w:w="2393" w:type="dxa"/>
          </w:tcPr>
          <w:p w:rsidR="001D7CD7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Римантадин</w:t>
            </w:r>
            <w:proofErr w:type="spellEnd"/>
          </w:p>
        </w:tc>
        <w:tc>
          <w:tcPr>
            <w:tcW w:w="2393" w:type="dxa"/>
          </w:tcPr>
          <w:p w:rsidR="001D7CD7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Римантадин</w:t>
            </w:r>
            <w:proofErr w:type="spellEnd"/>
          </w:p>
        </w:tc>
        <w:tc>
          <w:tcPr>
            <w:tcW w:w="2393" w:type="dxa"/>
          </w:tcPr>
          <w:p w:rsidR="001D7CD7" w:rsidRPr="00A045E2" w:rsidRDefault="00C1100B" w:rsidP="00C06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J05AC02</w:t>
            </w:r>
          </w:p>
        </w:tc>
      </w:tr>
      <w:tr w:rsidR="00B3268E" w:rsidRPr="000F259A" w:rsidTr="00C06295">
        <w:tc>
          <w:tcPr>
            <w:tcW w:w="2392" w:type="dxa"/>
          </w:tcPr>
          <w:p w:rsidR="001D7CD7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Анальгезирующее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(анальгезирующее ненаркотическое ср-во + психостимулирующее) </w:t>
            </w:r>
          </w:p>
        </w:tc>
        <w:tc>
          <w:tcPr>
            <w:tcW w:w="2393" w:type="dxa"/>
          </w:tcPr>
          <w:p w:rsidR="001D7CD7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Мигренол</w:t>
            </w:r>
            <w:proofErr w:type="spellEnd"/>
          </w:p>
        </w:tc>
        <w:tc>
          <w:tcPr>
            <w:tcW w:w="2393" w:type="dxa"/>
          </w:tcPr>
          <w:p w:rsidR="001D7CD7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Парацетамол+</w:t>
            </w:r>
          </w:p>
          <w:p w:rsidR="00B3268E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2393" w:type="dxa"/>
          </w:tcPr>
          <w:p w:rsidR="001D7CD7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N02BE71</w:t>
            </w:r>
          </w:p>
        </w:tc>
      </w:tr>
      <w:tr w:rsidR="00C1100B" w:rsidRPr="000F259A" w:rsidTr="00C06295">
        <w:tc>
          <w:tcPr>
            <w:tcW w:w="2392" w:type="dxa"/>
          </w:tcPr>
          <w:p w:rsidR="00C1100B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Средство лечения угревой сыпи</w:t>
            </w:r>
          </w:p>
        </w:tc>
        <w:tc>
          <w:tcPr>
            <w:tcW w:w="2393" w:type="dxa"/>
          </w:tcPr>
          <w:p w:rsidR="00C1100B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Роаккутан</w:t>
            </w:r>
            <w:proofErr w:type="spellEnd"/>
          </w:p>
        </w:tc>
        <w:tc>
          <w:tcPr>
            <w:tcW w:w="2393" w:type="dxa"/>
          </w:tcPr>
          <w:p w:rsidR="00C1100B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Изотретиноин</w:t>
            </w:r>
            <w:proofErr w:type="spellEnd"/>
          </w:p>
        </w:tc>
        <w:tc>
          <w:tcPr>
            <w:tcW w:w="2393" w:type="dxa"/>
          </w:tcPr>
          <w:p w:rsidR="00C1100B" w:rsidRPr="00A045E2" w:rsidRDefault="00B3268E" w:rsidP="00B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7F7F7"/>
              </w:rPr>
              <w:t xml:space="preserve">D10BA01 </w:t>
            </w:r>
          </w:p>
        </w:tc>
      </w:tr>
      <w:tr w:rsidR="00C1100B" w:rsidRPr="000F259A" w:rsidTr="00C06295">
        <w:tc>
          <w:tcPr>
            <w:tcW w:w="2392" w:type="dxa"/>
          </w:tcPr>
          <w:p w:rsidR="00C1100B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Местноанестезирующее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1100B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Новокаин</w:t>
            </w:r>
          </w:p>
        </w:tc>
        <w:tc>
          <w:tcPr>
            <w:tcW w:w="2393" w:type="dxa"/>
          </w:tcPr>
          <w:p w:rsidR="00C1100B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  <w:proofErr w:type="spellEnd"/>
          </w:p>
        </w:tc>
        <w:tc>
          <w:tcPr>
            <w:tcW w:w="2393" w:type="dxa"/>
          </w:tcPr>
          <w:p w:rsidR="00C1100B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C05AD05</w:t>
            </w:r>
          </w:p>
        </w:tc>
      </w:tr>
      <w:tr w:rsidR="00B3268E" w:rsidRPr="000F259A" w:rsidTr="00C06295">
        <w:tc>
          <w:tcPr>
            <w:tcW w:w="2392" w:type="dxa"/>
          </w:tcPr>
          <w:p w:rsidR="00B3268E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Холинолитическое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</w:p>
        </w:tc>
        <w:tc>
          <w:tcPr>
            <w:tcW w:w="2393" w:type="dxa"/>
          </w:tcPr>
          <w:p w:rsidR="00B3268E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Циклодол</w:t>
            </w:r>
            <w:proofErr w:type="spellEnd"/>
          </w:p>
        </w:tc>
        <w:tc>
          <w:tcPr>
            <w:tcW w:w="2393" w:type="dxa"/>
          </w:tcPr>
          <w:p w:rsidR="00B3268E" w:rsidRPr="00A045E2" w:rsidRDefault="00B3268E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7F7F7"/>
              </w:rPr>
              <w:t>Тригексифенидил</w:t>
            </w:r>
            <w:proofErr w:type="spellEnd"/>
          </w:p>
        </w:tc>
        <w:tc>
          <w:tcPr>
            <w:tcW w:w="2393" w:type="dxa"/>
          </w:tcPr>
          <w:p w:rsidR="00B3268E" w:rsidRPr="00A045E2" w:rsidRDefault="00B3268E" w:rsidP="00B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7F7F7"/>
              </w:rPr>
              <w:t xml:space="preserve">N04AA01 </w:t>
            </w:r>
          </w:p>
        </w:tc>
      </w:tr>
      <w:tr w:rsidR="00B3268E" w:rsidRPr="000F259A" w:rsidTr="00C06295">
        <w:tc>
          <w:tcPr>
            <w:tcW w:w="2392" w:type="dxa"/>
          </w:tcPr>
          <w:p w:rsidR="00B3268E" w:rsidRPr="00A045E2" w:rsidRDefault="00A045E2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Ноотропное</w:t>
            </w:r>
            <w:proofErr w:type="spellEnd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ср-во</w:t>
            </w:r>
            <w:proofErr w:type="gramEnd"/>
          </w:p>
        </w:tc>
        <w:tc>
          <w:tcPr>
            <w:tcW w:w="2393" w:type="dxa"/>
          </w:tcPr>
          <w:p w:rsidR="00B3268E" w:rsidRPr="00A045E2" w:rsidRDefault="00A045E2" w:rsidP="00C0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</w:rPr>
              <w:t>Цере</w:t>
            </w:r>
            <w:r w:rsidR="00B3268E" w:rsidRPr="00A045E2">
              <w:rPr>
                <w:rFonts w:ascii="Times New Roman" w:hAnsi="Times New Roman" w:cs="Times New Roman"/>
                <w:sz w:val="28"/>
                <w:szCs w:val="28"/>
              </w:rPr>
              <w:t>тон</w:t>
            </w:r>
            <w:proofErr w:type="spellEnd"/>
          </w:p>
        </w:tc>
        <w:tc>
          <w:tcPr>
            <w:tcW w:w="2393" w:type="dxa"/>
          </w:tcPr>
          <w:p w:rsidR="00B3268E" w:rsidRPr="00A045E2" w:rsidRDefault="00A045E2" w:rsidP="00A0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7F7F7"/>
              </w:rPr>
              <w:t xml:space="preserve">Холина </w:t>
            </w:r>
            <w:proofErr w:type="spellStart"/>
            <w:r w:rsidRPr="00A045E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7F7F7"/>
              </w:rPr>
              <w:t>альфосцерат</w:t>
            </w:r>
            <w:proofErr w:type="spellEnd"/>
          </w:p>
        </w:tc>
        <w:tc>
          <w:tcPr>
            <w:tcW w:w="2393" w:type="dxa"/>
          </w:tcPr>
          <w:p w:rsidR="00B3268E" w:rsidRPr="00A045E2" w:rsidRDefault="00A045E2" w:rsidP="00C06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N07AX02</w:t>
            </w:r>
          </w:p>
        </w:tc>
      </w:tr>
    </w:tbl>
    <w:p w:rsidR="00C06295" w:rsidRPr="0032651B" w:rsidRDefault="00C06295" w:rsidP="00C06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51B">
        <w:rPr>
          <w:rFonts w:ascii="Times New Roman" w:eastAsia="Times New Roman" w:hAnsi="Times New Roman" w:cs="Times New Roman"/>
          <w:b/>
          <w:sz w:val="28"/>
          <w:szCs w:val="28"/>
        </w:rPr>
        <w:t>Тема № 2.  (18 часов)</w:t>
      </w:r>
    </w:p>
    <w:p w:rsidR="00C06295" w:rsidRPr="0032651B" w:rsidRDefault="00C06295" w:rsidP="00C06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651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Лекарственные средства. Анализ ассортимента. Хранение. Реализация.</w:t>
      </w:r>
    </w:p>
    <w:p w:rsidR="001D38A7" w:rsidRPr="000F259A" w:rsidRDefault="00C06295">
      <w:pPr>
        <w:rPr>
          <w:rFonts w:ascii="Times New Roman" w:hAnsi="Times New Roman" w:cs="Times New Roman"/>
          <w:sz w:val="28"/>
          <w:szCs w:val="28"/>
        </w:rPr>
      </w:pPr>
      <w:r w:rsidRPr="000F259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32651B">
        <w:rPr>
          <w:rFonts w:ascii="Times New Roman" w:hAnsi="Times New Roman" w:cs="Times New Roman"/>
          <w:sz w:val="28"/>
          <w:szCs w:val="28"/>
        </w:rPr>
        <w:t xml:space="preserve">№ </w:t>
      </w:r>
      <w:r w:rsidRPr="000F259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F31350" w:rsidRDefault="00F31350"/>
    <w:p w:rsidR="0032651B" w:rsidRDefault="0032651B"/>
    <w:p w:rsidR="0032651B" w:rsidRDefault="0032651B"/>
    <w:p w:rsidR="00F31350" w:rsidRPr="0032651B" w:rsidRDefault="00F31350" w:rsidP="00F31350">
      <w:pPr>
        <w:rPr>
          <w:rFonts w:ascii="Times New Roman" w:hAnsi="Times New Roman" w:cs="Times New Roman"/>
          <w:sz w:val="28"/>
          <w:szCs w:val="28"/>
        </w:rPr>
      </w:pPr>
      <w:r w:rsidRPr="0032651B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32651B">
        <w:rPr>
          <w:rFonts w:ascii="Times New Roman" w:hAnsi="Times New Roman" w:cs="Times New Roman"/>
          <w:sz w:val="28"/>
          <w:szCs w:val="28"/>
        </w:rPr>
        <w:t xml:space="preserve">№ </w:t>
      </w:r>
      <w:r w:rsidRPr="0032651B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2651B" w:rsidRPr="0032651B" w:rsidRDefault="00F31350" w:rsidP="0032651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65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Правила маркировки  ЛС, согласно требованиям </w:t>
      </w:r>
      <w:r w:rsidRPr="00326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Федерального закона от 12.04.2010 № 61-ФЗ «Об обращении лекарственных средств»</w:t>
      </w:r>
      <w:r w:rsidR="0032651B" w:rsidRPr="00326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045E2" w:rsidRPr="0032651B" w:rsidRDefault="0032651B" w:rsidP="003265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A045E2"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Лекарственные препараты, 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</w:t>
      </w:r>
    </w:p>
    <w:p w:rsidR="00F31350" w:rsidRPr="0032651B" w:rsidRDefault="0032651B" w:rsidP="0032651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 w:rsidR="00F31350"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="00F31350"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группировочное</w:t>
      </w:r>
      <w:proofErr w:type="spellEnd"/>
      <w:r w:rsidR="00F31350"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химическое, или 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  <w:proofErr w:type="gramEnd"/>
    </w:p>
    <w:p w:rsidR="00F31350" w:rsidRPr="0032651B" w:rsidRDefault="0032651B" w:rsidP="0032651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="00F31350"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="00F31350"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группировочное</w:t>
      </w:r>
      <w:proofErr w:type="spellEnd"/>
      <w:r w:rsidR="00F31350"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химическое и торговое наименования), наименование производителя лекарственного препарата, номер серии, дата выпуска (для 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</w:t>
      </w:r>
      <w:proofErr w:type="gramEnd"/>
      <w:r w:rsidR="00F31350" w:rsidRPr="003265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отпуска, условия хранения, предупредительные надписи.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 xml:space="preserve">2. </w:t>
      </w:r>
      <w:proofErr w:type="gramStart"/>
      <w:r w:rsidRPr="0032651B">
        <w:rPr>
          <w:color w:val="000000" w:themeColor="text1"/>
          <w:sz w:val="28"/>
          <w:szCs w:val="28"/>
        </w:rPr>
        <w:t xml:space="preserve">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Pr="0032651B">
        <w:rPr>
          <w:color w:val="000000" w:themeColor="text1"/>
          <w:sz w:val="28"/>
          <w:szCs w:val="28"/>
        </w:rPr>
        <w:t>группировочное</w:t>
      </w:r>
      <w:proofErr w:type="spellEnd"/>
      <w:r w:rsidRPr="0032651B">
        <w:rPr>
          <w:color w:val="000000" w:themeColor="text1"/>
          <w:sz w:val="28"/>
          <w:szCs w:val="28"/>
        </w:rPr>
        <w:t xml:space="preserve">, или химическое и торговое </w:t>
      </w:r>
      <w:r w:rsidRPr="0032651B">
        <w:rPr>
          <w:color w:val="000000" w:themeColor="text1"/>
          <w:sz w:val="28"/>
          <w:szCs w:val="28"/>
        </w:rPr>
        <w:lastRenderedPageBreak/>
        <w:t>наименования), наименование производителя фармацевтической субстанции, номер </w:t>
      </w:r>
      <w:hyperlink r:id="rId6" w:anchor="block_4025" w:history="1">
        <w:r w:rsidRPr="0032651B">
          <w:rPr>
            <w:rStyle w:val="a5"/>
            <w:color w:val="000000" w:themeColor="text1"/>
            <w:sz w:val="28"/>
            <w:szCs w:val="28"/>
          </w:rPr>
          <w:t>серии</w:t>
        </w:r>
      </w:hyperlink>
      <w:r w:rsidRPr="0032651B">
        <w:rPr>
          <w:color w:val="000000" w:themeColor="text1"/>
          <w:sz w:val="28"/>
          <w:szCs w:val="28"/>
        </w:rPr>
        <w:t> и дата изготовления, количество в упаковке и единицы измерения количества, срок годности и условия хранения.</w:t>
      </w:r>
      <w:proofErr w:type="gramEnd"/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>3. 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>4.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>5. На первичную упаковку и вторичную (потребительскую) упаковку радиофармацевтических лекарственных средств должен наноситься знак радиационной опасности.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>6. На вторичную (потребительскую) упаковку гомеопатических лекарственных препаратов должна наноситься надпись: "Гомеопатический".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>7. На вторичную (потребительскую) упаковку лекарственных растительных препаратов должна наноситься надпись: "Продукция прошла радиационный контроль".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>8. 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>9. 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 xml:space="preserve">10. </w:t>
      </w:r>
      <w:proofErr w:type="gramStart"/>
      <w:r w:rsidRPr="0032651B">
        <w:rPr>
          <w:color w:val="000000" w:themeColor="text1"/>
          <w:sz w:val="28"/>
          <w:szCs w:val="28"/>
        </w:rPr>
        <w:t xml:space="preserve"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 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</w:t>
      </w:r>
      <w:r w:rsidRPr="0032651B">
        <w:rPr>
          <w:color w:val="000000" w:themeColor="text1"/>
          <w:sz w:val="28"/>
          <w:szCs w:val="28"/>
        </w:rPr>
        <w:lastRenderedPageBreak/>
        <w:t>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 w:rsidRPr="0032651B">
        <w:rPr>
          <w:color w:val="000000" w:themeColor="text1"/>
          <w:sz w:val="28"/>
          <w:szCs w:val="28"/>
        </w:rPr>
        <w:t xml:space="preserve"> об условиях его хранения и перевозки, необходимые предупредительные надписи и манипуляторные знаки.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>11. На первичную упаковку и вторичную (потребительскую) упаковку лекарственных сре</w:t>
      </w:r>
      <w:proofErr w:type="gramStart"/>
      <w:r w:rsidRPr="0032651B">
        <w:rPr>
          <w:color w:val="000000" w:themeColor="text1"/>
          <w:sz w:val="28"/>
          <w:szCs w:val="28"/>
        </w:rPr>
        <w:t>дств дл</w:t>
      </w:r>
      <w:proofErr w:type="gramEnd"/>
      <w:r w:rsidRPr="0032651B">
        <w:rPr>
          <w:color w:val="000000" w:themeColor="text1"/>
          <w:sz w:val="28"/>
          <w:szCs w:val="28"/>
        </w:rPr>
        <w:t>я ветеринарного применения должна наноситься надпись: "Для ветеринарного применения".</w:t>
      </w:r>
    </w:p>
    <w:p w:rsidR="00F31350" w:rsidRPr="0032651B" w:rsidRDefault="00F31350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>12. На вторичную (потребительскую) упаковку лекарственного препарата наносится штриховой код.</w:t>
      </w:r>
    </w:p>
    <w:p w:rsidR="0032651B" w:rsidRPr="0032651B" w:rsidRDefault="0032651B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EE638D" w:rsidRPr="0032651B" w:rsidRDefault="00EE638D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2651B">
        <w:rPr>
          <w:color w:val="000000" w:themeColor="text1"/>
          <w:sz w:val="28"/>
          <w:szCs w:val="28"/>
        </w:rPr>
        <w:t xml:space="preserve">Задание </w:t>
      </w:r>
      <w:r w:rsidR="0032651B">
        <w:rPr>
          <w:color w:val="000000" w:themeColor="text1"/>
          <w:sz w:val="28"/>
          <w:szCs w:val="28"/>
        </w:rPr>
        <w:t xml:space="preserve">№ </w:t>
      </w:r>
      <w:r w:rsidRPr="0032651B">
        <w:rPr>
          <w:color w:val="000000" w:themeColor="text1"/>
          <w:sz w:val="28"/>
          <w:szCs w:val="28"/>
        </w:rPr>
        <w:t>3.</w:t>
      </w:r>
    </w:p>
    <w:p w:rsidR="0032651B" w:rsidRPr="0032651B" w:rsidRDefault="00EE638D" w:rsidP="0032651B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</w:rPr>
      </w:pPr>
      <w:r w:rsidRPr="0032651B">
        <w:rPr>
          <w:b/>
          <w:i/>
          <w:color w:val="000000" w:themeColor="text1"/>
          <w:sz w:val="28"/>
          <w:szCs w:val="28"/>
        </w:rPr>
        <w:t>Нормативные документы, регламентирующие хранение лекарственных средств в аптеке:</w:t>
      </w:r>
    </w:p>
    <w:p w:rsidR="00EE638D" w:rsidRDefault="008702E1" w:rsidP="008702E1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</w:t>
      </w:r>
      <w:r w:rsidR="00EE638D" w:rsidRPr="0032651B">
        <w:rPr>
          <w:color w:val="000000" w:themeColor="text1"/>
          <w:sz w:val="28"/>
          <w:szCs w:val="28"/>
          <w:shd w:val="clear" w:color="auto" w:fill="FFFFFF"/>
        </w:rPr>
        <w:t>Приказ Министерства здравоохранения и социального развития РФ от 23 августа 2010 года N 706н «Об утверждении Правил хранения лекарственных средств»</w:t>
      </w:r>
      <w:r w:rsidR="0032651B" w:rsidRPr="0032651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Хранение лекарственных средств, требующих защиты от действия света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 xml:space="preserve">Для хранения особо чувствительных к свету фармацевтических субстанций (нитрат серебра,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прозерин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) стеклянную тару оклеивают черной светонепроницаемой бумагой.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средств, требующих защиты от воздействия влаги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Фармацевтические субстанции, требующие защиты от воздействия влаги, следует хранить в прохладном месте при температуре до + 15 град. С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Во избежание порчи и потери качества следует организовать хранение лекарственных сре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дств в с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средств, требующих защиты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от улетучивания и высыхания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</w:t>
      </w: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лекарственные средства, содержащие кристаллизационную воду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парааминосалицилат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натрия, сульфат натрия),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средств, требующих защиты от воздействия повышенной температуры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средств, требующих защиты от воздействия пониженной температуры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- 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  <w:proofErr w:type="gramEnd"/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Замерзание препаратов инсулина не допускается.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средств, требующих защиты от воздействия газов, содержащихся в окружающей среде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барбитал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натрий,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гексенал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пахучих и красящих лекарственных средств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Пахучие лекарственные средства (фармацевтические субстанции как летучие, так и практически нелетучие, но обладающие сильным </w:t>
      </w: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запахом) следует хранить в герметически закрытой таре, непроницаемой для запаха.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 следует хранить в специальном шкафу в плотно укупоренной таре.</w:t>
      </w:r>
      <w:proofErr w:type="gramEnd"/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дезинфицирующих лекарственных средств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лекарственных препаратов для медицинского применения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лекарственного растительного сырья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 xml:space="preserve">-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Нерасфасованное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Нерасфасованное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лекарственное растительное сырье, содержащее эфирные масла, хранится изолированно в хорошо укупоренной таре.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Нерасфасованное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лекарственное растительное сырье должно подвергаться периодическому контролю в соответствии с требованиями государственной фармакопеи. 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  <w:proofErr w:type="gramEnd"/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Нерасфасованное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лекарственное растительное сырье, включенное в списки сильнодействующих и ядовитых веществ, утвержденные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, 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N 2, ст. 89; 2010, N 28, ст. 3703), хранится в отдельном помещении или в отдельном шкафу под замком.</w:t>
      </w:r>
      <w:proofErr w:type="gramEnd"/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Расфасованное лекарственное растительное сырье хранится на стеллажах или в шкафах.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огнеопасных лекарственных средств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 xml:space="preserve">- 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клеол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жидкость Новикова, органические масла); лекарственные средства, обладающее легкогорючими свойствами (сера, глицерин, растительные масла, лекарственное растительное сырье) должно осуществляться отдельно от других лекарственных средств.</w:t>
      </w:r>
      <w:proofErr w:type="gramEnd"/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Легковоспламеняющиеся лекарственные средства хранят в плотно укупоренной прочной стеклянной или металлической таре, чтобы предупредить испарение жидкостей из сосудов.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баллоно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-опрокидывателях в один ряд.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- Не допускается хранение легковоспламеняющихся и легкогорючих лекарственных сре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дств в п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взрывоопасных лекарственных средств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 следует принимать меры против загрязнения их пылью.</w:t>
      </w:r>
      <w:proofErr w:type="gramEnd"/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Емкости с взрывоопасными лекарственными средствами (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штангласы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жестяные барабаны, склянки и др.) необходимо плотно закрывать во избежание попадания паров этих сре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дств в в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оздух.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Хранение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нерасфасованного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калия перманганата допускается в специальном отсеке складских помещений (где он хранится в жестяных барабанах), в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штангласах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 xml:space="preserve">-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Нерасфасованный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раствор нитро 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При работе с </w:t>
      </w:r>
      <w:proofErr w:type="spell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диэтиловым</w:t>
      </w:r>
      <w:proofErr w:type="spell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эфиром не допускаются встряхивание, удары, трение.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Запрещается хранение взрывоопасных лекарственных сре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дств с к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ислотами и щелочами.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наркотических и психотропных лекарственных средств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65. 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Правилам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N 25, ст. 3178).</w:t>
      </w:r>
      <w:proofErr w:type="gramEnd"/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Хранение сильнодействующих и ядовитых лекарственных средств,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лекарственных средств, подлежащих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b/>
          <w:bCs/>
          <w:spacing w:val="3"/>
          <w:sz w:val="28"/>
          <w:szCs w:val="28"/>
          <w:lang w:eastAsia="ru-RU"/>
        </w:rPr>
        <w:t>предметно-количественному учету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В соответствии с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</w:t>
      </w: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средства, содержащие сильнодействующие и ядовитые вещества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, </w:t>
      </w: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включенные в списки сильнодействующих веществ и ядовитых веществ.</w:t>
      </w:r>
      <w:proofErr w:type="gramEnd"/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  <w:proofErr w:type="gramEnd"/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8702E1" w:rsidRPr="00A624B5" w:rsidRDefault="008702E1" w:rsidP="008702E1">
      <w:pPr>
        <w:pStyle w:val="a4"/>
        <w:spacing w:after="0" w:line="360" w:lineRule="auto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Лекарственные средства, подлежащие предметно-количественному учету в соответствии с приказом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</w:t>
      </w:r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металлических или деревянных шкафах, опечатываемых или пломбируемых в конце</w:t>
      </w:r>
      <w:proofErr w:type="gramEnd"/>
      <w:r w:rsidRPr="00A624B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рабочего дня.</w:t>
      </w:r>
    </w:p>
    <w:p w:rsidR="001A454C" w:rsidRPr="00857C86" w:rsidRDefault="008702E1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EE638D" w:rsidRPr="0032651B">
        <w:rPr>
          <w:bCs/>
          <w:color w:val="22272F"/>
          <w:sz w:val="28"/>
          <w:szCs w:val="28"/>
          <w:shd w:val="clear" w:color="auto" w:fill="FFFFFF"/>
        </w:rPr>
        <w:t>Приказ Министерства здравоохранения РФ от 31 августа 2016 г. N 646н</w:t>
      </w:r>
      <w:r w:rsidR="00EE638D" w:rsidRPr="0032651B">
        <w:rPr>
          <w:bCs/>
          <w:color w:val="22272F"/>
          <w:sz w:val="28"/>
          <w:szCs w:val="28"/>
        </w:rPr>
        <w:br/>
      </w:r>
      <w:r w:rsidR="00EE638D" w:rsidRPr="0032651B">
        <w:rPr>
          <w:bCs/>
          <w:color w:val="22272F"/>
          <w:sz w:val="28"/>
          <w:szCs w:val="28"/>
          <w:shd w:val="clear" w:color="auto" w:fill="FFFFFF"/>
        </w:rPr>
        <w:t>"Об утверждении Правил надлежащей практики хранения и перевозки лекарственных препаратов для медицинского применения"</w:t>
      </w:r>
      <w:r w:rsidR="0032651B" w:rsidRPr="0032651B">
        <w:rPr>
          <w:bCs/>
          <w:color w:val="22272F"/>
          <w:sz w:val="28"/>
          <w:szCs w:val="28"/>
          <w:shd w:val="clear" w:color="auto" w:fill="FFFFFF"/>
        </w:rPr>
        <w:t>.</w:t>
      </w:r>
      <w:r w:rsidR="001A454C" w:rsidRPr="00857C86">
        <w:rPr>
          <w:sz w:val="28"/>
          <w:szCs w:val="28"/>
        </w:rPr>
        <w:t>-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(далее - температурное картирование).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Оборудование для контроля температуры размещается в помещения (</w:t>
      </w:r>
      <w:proofErr w:type="gramStart"/>
      <w:r w:rsidRPr="00857C86">
        <w:rPr>
          <w:sz w:val="28"/>
          <w:szCs w:val="28"/>
        </w:rPr>
        <w:t>зонах</w:t>
      </w:r>
      <w:proofErr w:type="gramEnd"/>
      <w:r w:rsidRPr="00857C86">
        <w:rPr>
          <w:sz w:val="28"/>
          <w:szCs w:val="28"/>
        </w:rPr>
        <w:t>) в соответствии с результатами температурного картирования, на основании проведенного анализа и оценки рисков.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 Результаты температурного картирования регистрируются в специальном журнале (карте) регистрации на бумажном носителе и (или) в электронном виде ежедневно, в том числе в выходные и праздничные дни. Журнал (карта) регистрации хранится в течение двух лет.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 Субъект обращения лекарственных препаратов разрабатывает и утверждает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 Процедуры по уборке помещений (зон) для хранения лекарственных препаратов проводятся в соответствии со стандартными операционными процедурами.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lastRenderedPageBreak/>
        <w:t>Отделка помещений (внутренние поверхности стен, потолков) для хранения лекарственных препаратов должна допускать возможность проведения влажной уборки и исключать накопление пыли.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Оборудование, инвентарь и материалы для уборки (очистки), а также моющие и дезинфицирующие средства должны храниться в отдельных зонах (шкафах).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 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 В помещения (зоны) для хранения лекарственных препаратов не допускаются лица, не имеющие права доступа, определенного стандартными операционными процедурами.</w:t>
      </w:r>
    </w:p>
    <w:p w:rsidR="001A454C" w:rsidRPr="00857C86" w:rsidRDefault="001A454C" w:rsidP="001A454C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857C86">
        <w:rPr>
          <w:sz w:val="28"/>
          <w:szCs w:val="28"/>
        </w:rPr>
        <w:t>- Производителям лекарственных препаратов и организациям оптовой торговли лекарственными препаратами необходимо предусмотреть разделение потоков перемещения лекарственных препаратов между помещениями и (или) зонами для хранения лекарственных препаратов.</w:t>
      </w:r>
    </w:p>
    <w:p w:rsidR="00EE638D" w:rsidRDefault="00EE638D" w:rsidP="008702E1">
      <w:pPr>
        <w:pStyle w:val="s1"/>
        <w:shd w:val="clear" w:color="auto" w:fill="FFFFFF"/>
        <w:spacing w:before="0" w:beforeAutospacing="0" w:after="0" w:afterAutospacing="0" w:line="360" w:lineRule="auto"/>
        <w:rPr>
          <w:bCs/>
          <w:color w:val="22272F"/>
          <w:sz w:val="28"/>
          <w:szCs w:val="28"/>
          <w:shd w:val="clear" w:color="auto" w:fill="FFFFFF"/>
        </w:rPr>
      </w:pPr>
      <w:bookmarkStart w:id="0" w:name="_GoBack"/>
      <w:bookmarkEnd w:id="0"/>
    </w:p>
    <w:p w:rsidR="001A454C" w:rsidRPr="0032651B" w:rsidRDefault="001A454C" w:rsidP="008702E1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EE638D" w:rsidRDefault="00EE638D" w:rsidP="00F31350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F31350" w:rsidRDefault="00F31350"/>
    <w:p w:rsidR="00C06295" w:rsidRDefault="00C06295"/>
    <w:p w:rsidR="00C06295" w:rsidRDefault="00C06295"/>
    <w:sectPr w:rsidR="00C0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E50"/>
    <w:multiLevelType w:val="hybridMultilevel"/>
    <w:tmpl w:val="A66E57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C7E3C65"/>
    <w:multiLevelType w:val="hybridMultilevel"/>
    <w:tmpl w:val="B230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F2222"/>
    <w:multiLevelType w:val="hybridMultilevel"/>
    <w:tmpl w:val="6E9E4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C23086"/>
    <w:multiLevelType w:val="hybridMultilevel"/>
    <w:tmpl w:val="E74E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20856"/>
    <w:multiLevelType w:val="hybridMultilevel"/>
    <w:tmpl w:val="8AC07CAA"/>
    <w:lvl w:ilvl="0" w:tplc="2F08C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A067E"/>
    <w:multiLevelType w:val="hybridMultilevel"/>
    <w:tmpl w:val="0936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E"/>
    <w:rsid w:val="000F259A"/>
    <w:rsid w:val="00166040"/>
    <w:rsid w:val="001A454C"/>
    <w:rsid w:val="001D7CD7"/>
    <w:rsid w:val="0032651B"/>
    <w:rsid w:val="006B5D4E"/>
    <w:rsid w:val="008702E1"/>
    <w:rsid w:val="00A045E2"/>
    <w:rsid w:val="00B3268E"/>
    <w:rsid w:val="00C06295"/>
    <w:rsid w:val="00C1100B"/>
    <w:rsid w:val="00C3023A"/>
    <w:rsid w:val="00EE638D"/>
    <w:rsid w:val="00F3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629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31350"/>
    <w:rPr>
      <w:color w:val="0000FF"/>
      <w:u w:val="single"/>
    </w:rPr>
  </w:style>
  <w:style w:type="paragraph" w:customStyle="1" w:styleId="s1">
    <w:name w:val="s_1"/>
    <w:basedOn w:val="a"/>
    <w:rsid w:val="00F3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1A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629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31350"/>
    <w:rPr>
      <w:color w:val="0000FF"/>
      <w:u w:val="single"/>
    </w:rPr>
  </w:style>
  <w:style w:type="paragraph" w:customStyle="1" w:styleId="s1">
    <w:name w:val="s_1"/>
    <w:basedOn w:val="a"/>
    <w:rsid w:val="00F3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1A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4909/1b93c134b90c6071b4dc3f495464b7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burav</dc:creator>
  <cp:lastModifiedBy>User0]</cp:lastModifiedBy>
  <cp:revision>3</cp:revision>
  <dcterms:created xsi:type="dcterms:W3CDTF">2020-05-14T14:22:00Z</dcterms:created>
  <dcterms:modified xsi:type="dcterms:W3CDTF">2020-05-20T07:25:00Z</dcterms:modified>
</cp:coreProperties>
</file>