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BE" w:rsidRDefault="002023BE" w:rsidP="002023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>» Министерства здравоохранения Российской Федерации</w:t>
      </w:r>
    </w:p>
    <w:p w:rsidR="002023BE" w:rsidRDefault="002023BE" w:rsidP="002023BE">
      <w:pPr>
        <w:pStyle w:val="a8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ФГБОУ ВПО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им. проф.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 Минздрава </w:t>
      </w:r>
      <w:r>
        <w:rPr>
          <w:color w:val="000000"/>
          <w:sz w:val="28"/>
          <w:szCs w:val="28"/>
        </w:rPr>
        <w:t>России</w:t>
      </w:r>
    </w:p>
    <w:p w:rsidR="002023BE" w:rsidRDefault="002023BE" w:rsidP="002023B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урологии, андрологии и сексологии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2023BE" w:rsidRDefault="002023BE" w:rsidP="002023BE">
      <w:pPr>
        <w:pStyle w:val="aa"/>
        <w:spacing w:line="360" w:lineRule="auto"/>
        <w:rPr>
          <w:lang w:val="ru-RU"/>
        </w:rPr>
      </w:pPr>
    </w:p>
    <w:p w:rsidR="002023BE" w:rsidRDefault="002023BE" w:rsidP="002023BE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Зав. кафедрой:  д.м.н., доцент: </w:t>
      </w:r>
      <w:proofErr w:type="spellStart"/>
      <w:r>
        <w:rPr>
          <w:rFonts w:cs="Times New Roman"/>
          <w:sz w:val="28"/>
          <w:szCs w:val="28"/>
        </w:rPr>
        <w:t>Капсаргин</w:t>
      </w:r>
      <w:proofErr w:type="spellEnd"/>
      <w:r>
        <w:rPr>
          <w:rFonts w:cs="Times New Roman"/>
          <w:sz w:val="28"/>
          <w:szCs w:val="28"/>
        </w:rPr>
        <w:t xml:space="preserve"> Ф.П.</w:t>
      </w:r>
    </w:p>
    <w:p w:rsidR="002023BE" w:rsidRDefault="002023BE" w:rsidP="002023BE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2023BE" w:rsidRDefault="002023BE" w:rsidP="002023BE">
      <w:pPr>
        <w:pStyle w:val="1"/>
        <w:spacing w:line="360" w:lineRule="auto"/>
        <w:ind w:firstLine="720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ind w:firstLine="720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РЕФЕРАТ</w:t>
      </w:r>
    </w:p>
    <w:p w:rsidR="002023BE" w:rsidRPr="00E832B6" w:rsidRDefault="002023BE" w:rsidP="002023BE">
      <w:pPr>
        <w:pStyle w:val="1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Тема: </w:t>
      </w:r>
      <w:proofErr w:type="spellStart"/>
      <w:r>
        <w:rPr>
          <w:rFonts w:cs="Times New Roman"/>
          <w:sz w:val="28"/>
          <w:szCs w:val="28"/>
        </w:rPr>
        <w:t>Нефротуберкулез</w:t>
      </w:r>
      <w:proofErr w:type="spellEnd"/>
    </w:p>
    <w:p w:rsidR="002023BE" w:rsidRDefault="002023BE" w:rsidP="002023BE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jc w:val="center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Мамонтов Артём Олегович</w:t>
      </w:r>
    </w:p>
    <w:p w:rsidR="002023BE" w:rsidRDefault="002023BE" w:rsidP="002023BE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Клинический ординатор  </w:t>
      </w:r>
    </w:p>
    <w:p w:rsidR="002023BE" w:rsidRDefault="002023BE" w:rsidP="002023BE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2023BE" w:rsidRDefault="002023BE" w:rsidP="002023BE">
      <w:pPr>
        <w:pStyle w:val="1"/>
        <w:spacing w:line="360" w:lineRule="auto"/>
        <w:jc w:val="center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a6"/>
        <w:tabs>
          <w:tab w:val="left" w:pos="284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a6"/>
        <w:tabs>
          <w:tab w:val="left" w:pos="284"/>
        </w:tabs>
        <w:spacing w:line="360" w:lineRule="auto"/>
        <w:rPr>
          <w:rFonts w:cs="Times New Roman"/>
          <w:sz w:val="28"/>
          <w:szCs w:val="28"/>
        </w:rPr>
      </w:pPr>
    </w:p>
    <w:p w:rsidR="002023BE" w:rsidRDefault="002023BE" w:rsidP="002023BE">
      <w:pPr>
        <w:pStyle w:val="a6"/>
        <w:tabs>
          <w:tab w:val="left" w:pos="284"/>
        </w:tabs>
        <w:spacing w:line="360" w:lineRule="auto"/>
        <w:jc w:val="center"/>
      </w:pPr>
      <w:r>
        <w:rPr>
          <w:rFonts w:cs="Times New Roman"/>
          <w:sz w:val="28"/>
          <w:szCs w:val="28"/>
        </w:rPr>
        <w:t>Красноярск, 2020</w:t>
      </w:r>
      <w:bookmarkStart w:id="0" w:name="_GoBack"/>
      <w:bookmarkEnd w:id="0"/>
    </w:p>
    <w:p w:rsidR="002023BE" w:rsidRDefault="002023BE" w:rsidP="002023BE"/>
    <w:p w:rsidR="002023BE" w:rsidRDefault="002023BE" w:rsidP="002023BE"/>
    <w:p w:rsidR="002023BE" w:rsidRPr="00123CE5" w:rsidRDefault="002023BE" w:rsidP="002023BE">
      <w:pPr>
        <w:rPr>
          <w:rFonts w:ascii="Times New Roman" w:hAnsi="Times New Roman" w:cs="Times New Roman"/>
          <w:b/>
          <w:sz w:val="28"/>
        </w:rPr>
      </w:pPr>
      <w:r w:rsidRPr="00123CE5">
        <w:rPr>
          <w:rFonts w:ascii="Times New Roman" w:hAnsi="Times New Roman" w:cs="Times New Roman"/>
          <w:b/>
          <w:sz w:val="28"/>
        </w:rPr>
        <w:t>СОДЕРЖАНИЕ: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Причины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Патогенез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Симптомы туберкулеза почек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Диагностика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Лечение туберкулеза почек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Прогноз и профилактика</w:t>
      </w:r>
    </w:p>
    <w:p w:rsidR="002023BE" w:rsidRPr="002023BE" w:rsidRDefault="002023BE" w:rsidP="00202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Цены на лечение</w:t>
      </w: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2023BE">
        <w:rPr>
          <w:rFonts w:ascii="Times New Roman" w:hAnsi="Times New Roman" w:cs="Times New Roman"/>
          <w:sz w:val="28"/>
          <w:szCs w:val="28"/>
        </w:rPr>
        <w:t xml:space="preserve">уберкулез почек – это внелегочная инфекция, вызываемая микобактериями туберкулеза и поражающая почечную паренхиму. Клиника неспецифична, может включать недомогание, субфебрилитет, боли в пояснице,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макрогемматурию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дизурию. Туберкулез почек диагностируется с помощью лабораторных анализов мочи,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УЗИ почек, урографии, ретроградной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уретеропиелографии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нефросцинтиграфии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морфологического исследования. Лечение предусматривает назначение специфической противотуберкулезной терапии; при деструктивном процессе в почках может потребоваться выполнение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кавернэктомии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нефрэктомии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Среди органных внелегочных поражений туберкулез почек (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нефротуберкулез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) является наиболее распространенной формой заболевания и встречается в урологии в 30-40% наблюдений. Первоначально происходит поражение коркового слоя органа. Дальнейшее прогрессирование инфекции сопровождается распадом тканей, образованием полостей и каверн в почечной паренхиме, нарушением функционирования почек. В тяжелых случаях наблюдается развитие туберкулезного пионефроза (гнойного расплавления почечной ткани), вовлечение в инфекционный процесс лоханки, мочеточника, мочевого пузыря, половых органов.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23BE">
        <w:rPr>
          <w:rFonts w:ascii="Times New Roman" w:hAnsi="Times New Roman" w:cs="Times New Roman"/>
          <w:sz w:val="28"/>
          <w:szCs w:val="28"/>
        </w:rPr>
        <w:t xml:space="preserve">При туберкулезе почек достаточно часто развивается генитальный туберкулез, поражающий у мужчин простату, яички, придатки яичек (туберкулезный простатит, орхит, эпидидимит); у женщин – придатки, фаллопиевы трубы, матку (туберкулезный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сальпингоофорит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, сальпингит, эндометрит).</w:t>
      </w:r>
      <w:proofErr w:type="gramEnd"/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Возбудителями туберкулеза почек являются микобактерии туберкулеза (М.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). Как правило, патология возникает у пациентов с запущенным легочным или костным туберкулезом после 3-10 лет течения первичного туберкулезного процесса. Развитие заболевания, как правило, происходит на фоне имеющихся местных инфекционных или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уродинамических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процессов – хронического пиелонефрита, камней почек и др.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t>Патогенез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Проникновение инфекции в почку происходит преимущественно гематогенным путем. Попадая с током крови в клубочковый аппарат, микобактерии формируют множественные мельчайшие туберкулезные очаги. 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>При хорошей местной и общей устойчивости к инфекции и малых размерах первичных очагов, последние могут подвергаться полному обратному развитию.</w:t>
      </w:r>
      <w:proofErr w:type="gramEnd"/>
      <w:r w:rsidRPr="002023BE">
        <w:rPr>
          <w:rFonts w:ascii="Times New Roman" w:hAnsi="Times New Roman" w:cs="Times New Roman"/>
          <w:sz w:val="28"/>
          <w:szCs w:val="28"/>
        </w:rPr>
        <w:t xml:space="preserve"> При расстройствах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и гемодинамики, а также сниженных защитных силах из коркового слоя инфекция распространяется в </w:t>
      </w:r>
      <w:r w:rsidRPr="002023BE">
        <w:rPr>
          <w:rFonts w:ascii="Times New Roman" w:hAnsi="Times New Roman" w:cs="Times New Roman"/>
          <w:sz w:val="28"/>
          <w:szCs w:val="28"/>
        </w:rPr>
        <w:lastRenderedPageBreak/>
        <w:t xml:space="preserve">мозговое вещество, вызывая специфическое воспаление почечных сосочков - туберкулезный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папиллит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По мере дальнейшего развития туберкулеза в процесс вовлекается вся толща почечных пирамид, происходит казеозный распад последних, что сопровождается образованием изолированных или сообщающихся с чашечно-лоханочными комплексами каверн. Прогрессирование туберкулеза почек может привести к формированию в почечной паренхиме множественных полостей (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поликавернозная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форма) и развитию пионефроза. Последующее заживление каверн протекает с обызвествлением казеозных очагов, в которых, однако, могут сохраняться жизнеспособные микобактерии туберкулеза.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Вторичное вовлечение мочевого пузыря, мочеточников и чашечно-лоханочных комплексов связано с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лифогенным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или уриногенным механизмом распространения туберкулезной инфекции.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В клинической урологии принята классификация, учитывающая клинико-рентгенологические особенности туберкулеза почек. Согласно данной классификации выделяют: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Туберкулез почечной паренхимы, сопровождающийся образованием множественных очагов в корковом и медуллярном слое почки.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Туберкулезный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папиллит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, протекающий с поражением почечных сосочков.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Кавернозный туберкулез почек, характеризующийся слиянием деструктивных очагов с инкапсуляцией (полостная форма).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Фиброзно-кавернозный туберкулез почек, сопровождающийся облитерацией чашечек с формированием в них замкнутых деструктивно-гнойных полостей.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Омелотворение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(обызвествление) почки, выражающееся в формировании ограниченных патологических очагов с большим количеством солей кальция (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казеом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туберкулем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).</w:t>
      </w: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lastRenderedPageBreak/>
        <w:t>Симптомы туберкулеза почек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Патогномоничная симптоматика отсутствует. На ранних стадиях патология может иметь латентное течение или характеризоваться нарушениями общего самочувствия: легким недомоганием, быстрой утомляемостью, субфебрильной температурой, прогрессирующим похуданием. Деструктивные изменения в почках сопровождаются появлением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безболевой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тотальной гематурии, вызванной эрозией сосудов при изъязвлении почечных сосочков. Кровотечение нередко сменяется пиурией, свидетельствующей о развитии пиелита или пиелонефрита.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При кавернозном туберкулезе почек отмечаются признаки инфекционной интоксикации, боли в пояснице. Болевые ощущения, как правило, выражены умеренно, носят ноющий тупой характер, однако при нарушениях оттока мочи могут прогрессировать до почечной колики. Двустороннее нарушение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сопровождается признаками хронической почечной недостаточности. При туберкулезном цистите присоединяются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дизурические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явления – императивные позывы к мочеиспусканию, поллакиурия,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странгурия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, постоянная боль над лоном, периодическая макрогематурия. В запущенных стадиях болезни нередко развивается артериальная гипертензия.</w:t>
      </w: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Учитывая, что туберкулез почек может протекать бессимптомно или в виде различных клинических вариантов, в диагностике первостепенное значение приобретает проведение лабораторных и аппаратно-инструментальных исследований. При подозрении на туберкулез почек показано проведение туберкулиновой пробы и консультация фтизиатра. При сборе анамнеза выясняют факт наличия легочного туберкулеза у самого пациента и его родственников, контакты с туберкулезными больными. У худых больных в ряде случаев удается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плотную, бугристую почку. Определяется ярко выраженный симптом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Характерными изменениями общего анализа мочи служат стойкая резко кислая реакция,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протеинурия,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эритроцитурия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пиурия. Достоверно судить о наличии туберкулеза почек позволяет выявление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микобактериурии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023BE">
        <w:rPr>
          <w:rFonts w:ascii="Times New Roman" w:hAnsi="Times New Roman" w:cs="Times New Roman"/>
          <w:sz w:val="28"/>
          <w:szCs w:val="28"/>
        </w:rPr>
        <w:t xml:space="preserve"> обнаруживается при помощи </w:t>
      </w:r>
      <w:r w:rsidRPr="002023BE">
        <w:rPr>
          <w:rFonts w:ascii="Times New Roman" w:hAnsi="Times New Roman" w:cs="Times New Roman"/>
          <w:sz w:val="28"/>
          <w:szCs w:val="28"/>
        </w:rPr>
        <w:lastRenderedPageBreak/>
        <w:t>бактериологического посева мочи или ПЦР-исследования. Проведение ИФА позволяет обнаружить антитела к туберкулезу, гамма-интерферон (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квантифероновый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тест) или сенсибилизированные Т-клетки (Т-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спот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23B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). В определенных случаях требуется выполнение провокационных тестов с туберкулином. После подкожного введения туберкулезного антигена происходит обострение процесса, что сопровождается выраженной протеинурией, пиурией и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микобактериурией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УЗИ почек при их туберкулезном поражении позволяет выявлять каверны,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обызвествленные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очаги, оценить степень вовлечения почечной паренхимы и динамику регресса заболевания под действием проводимой терапии. Рентгеновское исследование почек (обзорная урография, экскреторная урография, ретроградная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уретеропиелография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антеградная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пиелография) помогают комплексно оценить состояние паренхимы и чашечно-лоханочного аппарата почек, мочеточников, мочевого пузыря. Выполнение почечной ангиографии позволяет определить 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>внутриорганную</w:t>
      </w:r>
      <w:proofErr w:type="gramEnd"/>
      <w:r w:rsidRPr="00202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ангиоархитектонику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в случае необходимости резекции почки.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Широкими диагностическими возможностями обладают КТ почек и МРТ. Данные о функциональном состоянии почек при туберкулезе получают с помощью радиоизотопной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нефросцинтиграфии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. Биопсия почки опасна диссеминацией инфекционного процесса, однако по показаниям может выполняться цистоскопия с биопсией слизистой мочевого пузыря. Морфологическое исследование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биопатата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мочевого пузыря в ряде случаев позволяет обнаружить гигантские клетки Пирогова-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Лангганса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даже при отсутствии визуальных изменений слизистой. Дифференциальная диагностика необходима с гидронефрозом, неспецифическим пиелонефритом, губчатой почкой,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мегакаликозом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поликистозом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почки.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lastRenderedPageBreak/>
        <w:t>Лечение туберкулеза почек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Лечение при туберкулезе почек может быть медикаментозным и комбинированным (хирургическим и медикаментозным). Медикаментозное лечение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нефротуберкулеза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включает назначение специфических противотуберкулезных препаратов разных групп на срок от 6 до 12 месяцев (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изониазид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этамбутол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пиразинамид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протионамид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, стрептомицин и др.).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Перспективно сочетание препаратов первого ряда с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фторхинолонами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офлоксацином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ципрофлоксацином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ломефлоксацином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). Специфическая химиотерапия при туберкулезе почек дополняется назначением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ангиопротекторов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, НПВС, предотвращающих рубцовое сморщивание почечной ткани. Следует учитывать, что длительное лечение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антитуберкулезными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препаратами может приводить к 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>тяжелому</w:t>
      </w:r>
      <w:proofErr w:type="gramEnd"/>
      <w:r w:rsidRPr="002023BE">
        <w:rPr>
          <w:rFonts w:ascii="Times New Roman" w:hAnsi="Times New Roman" w:cs="Times New Roman"/>
          <w:sz w:val="28"/>
          <w:szCs w:val="28"/>
        </w:rPr>
        <w:t xml:space="preserve"> дисбактериозу кишечника, аллергическим реакциям.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При нарушении оттока мочи из почки требуется установка мочеточникового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или проведение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нефростомии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. В случае развития локального деструктивного процесса в почке консервативную терапию дополняют санацией пораженного сегмента (кавернотомией) или частичной резекцией почки (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кавернэктомией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). При тотальной деструкции органа 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202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нефрэктомия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t>Прогноз и профилактика</w:t>
      </w:r>
      <w:r w:rsidRPr="002023BE">
        <w:rPr>
          <w:rFonts w:ascii="Times New Roman" w:hAnsi="Times New Roman" w:cs="Times New Roman"/>
          <w:b/>
          <w:sz w:val="28"/>
          <w:szCs w:val="28"/>
        </w:rPr>
        <w:t>: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Основным прогностическим критерием является стадия заболевания. Раннее выявление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нефротуберкулеза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, отсутствие деструктивных процессов в чашечно-лоханочной системе, мочеточниках и мочевом пузыре на фоне адекватной специфической химиотерапии может сопровождаться полным излечением. Неблагоприятным в плане прогноза является двусторонний туберкулез почек с выраженным разрушением почечной паренхимы.</w:t>
      </w:r>
    </w:p>
    <w:p w:rsidR="002023BE" w:rsidRP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Все пациенты, перенесшие данное заболевание, находятся на диспансерном учете у фтизиатра и врача-нефролога с периодическим обследованием. Критериями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служит нормализация показателей мочи, </w:t>
      </w:r>
      <w:r w:rsidRPr="002023BE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рецидива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нефротуберкулеза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по рентгенологическим данным в течение 3-х лет. Предупреждение туберкулеза почек заключается в соблюдении мер специфической (вакцинация против туберкулеза) и неспецифической профилактики легочного туберкулезе.</w:t>
      </w: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Default="002023BE" w:rsidP="002023BE">
      <w:pPr>
        <w:rPr>
          <w:rFonts w:ascii="Times New Roman" w:hAnsi="Times New Roman" w:cs="Times New Roman"/>
          <w:sz w:val="28"/>
          <w:szCs w:val="28"/>
        </w:rPr>
      </w:pPr>
    </w:p>
    <w:p w:rsidR="002023BE" w:rsidRPr="002023BE" w:rsidRDefault="002023BE" w:rsidP="002023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23B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023BE" w:rsidRPr="002023BE" w:rsidRDefault="002023BE" w:rsidP="00202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Смертность и бремя болезней в Российской Федерации / Туберкулез. — 2016. [Электронный ресурс]. Дата обращения: 12.06.2019.</w:t>
      </w:r>
    </w:p>
    <w:p w:rsidR="002023BE" w:rsidRPr="002023BE" w:rsidRDefault="002023BE" w:rsidP="00202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Кульчавеня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Баранчукова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А.А. Классификация, клиническая картина и диагностика туберкулеза мочевой системы // Медицина и образование в Сибири. — 2013. — № 5.</w:t>
      </w:r>
    </w:p>
    <w:p w:rsidR="002023BE" w:rsidRPr="002023BE" w:rsidRDefault="002023BE" w:rsidP="00202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Левашев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Ю.Н., Репин Ю.М. Руководство по легочному и внелегочному туберкулезу. — СПб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023BE">
        <w:rPr>
          <w:rFonts w:ascii="Times New Roman" w:hAnsi="Times New Roman" w:cs="Times New Roman"/>
          <w:sz w:val="28"/>
          <w:szCs w:val="28"/>
        </w:rPr>
        <w:t>Элби, 2006. — 516 с.</w:t>
      </w:r>
    </w:p>
    <w:p w:rsidR="002023BE" w:rsidRPr="002023BE" w:rsidRDefault="002023BE" w:rsidP="00202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Лелявин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К.Б. Туберкулез мочеполовой системы: учебное пособие в 3 частях. — Иркутск: Изд-во Иркутского государственного института усовершенствования врачей, 2009. — 64 с.</w:t>
      </w:r>
    </w:p>
    <w:p w:rsidR="002023BE" w:rsidRPr="002023BE" w:rsidRDefault="002023BE" w:rsidP="00202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Лелявин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Каня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О.В. Туберкулез предстательной железы: морфологические изменения, особенности дифференциальной диагностики // Актуальные вопросы эпидемиологии, клиники и диагностики туберкулеза. Материалы конференции. — Иркутск, 2007. — С. 52-56.</w:t>
      </w:r>
    </w:p>
    <w:p w:rsidR="002023BE" w:rsidRPr="002023BE" w:rsidRDefault="002023BE" w:rsidP="00202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3BE">
        <w:rPr>
          <w:rFonts w:ascii="Times New Roman" w:hAnsi="Times New Roman" w:cs="Times New Roman"/>
          <w:sz w:val="28"/>
          <w:szCs w:val="28"/>
        </w:rPr>
        <w:t xml:space="preserve">Ткачук В.Н., 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Р.К., Аль-</w:t>
      </w:r>
      <w:proofErr w:type="spellStart"/>
      <w:r w:rsidRPr="002023BE">
        <w:rPr>
          <w:rFonts w:ascii="Times New Roman" w:hAnsi="Times New Roman" w:cs="Times New Roman"/>
          <w:sz w:val="28"/>
          <w:szCs w:val="28"/>
        </w:rPr>
        <w:t>Шукри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 xml:space="preserve"> С.Х. Туберкулёз мочеполовой системы: руководство для врачей. — СПб</w:t>
      </w:r>
      <w:proofErr w:type="gramStart"/>
      <w:r w:rsidRPr="002023B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2023BE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2023BE">
        <w:rPr>
          <w:rFonts w:ascii="Times New Roman" w:hAnsi="Times New Roman" w:cs="Times New Roman"/>
          <w:sz w:val="28"/>
          <w:szCs w:val="28"/>
        </w:rPr>
        <w:t>, 2004. — 319 с.</w:t>
      </w:r>
    </w:p>
    <w:p w:rsidR="00693691" w:rsidRDefault="00693691" w:rsidP="002023BE"/>
    <w:sectPr w:rsidR="0069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1B7"/>
    <w:multiLevelType w:val="hybridMultilevel"/>
    <w:tmpl w:val="D468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4BE9"/>
    <w:multiLevelType w:val="hybridMultilevel"/>
    <w:tmpl w:val="C410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9A"/>
    <w:rsid w:val="002023BE"/>
    <w:rsid w:val="00693691"/>
    <w:rsid w:val="00B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BE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2023B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2023BE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6">
    <w:name w:val="footer"/>
    <w:basedOn w:val="a"/>
    <w:link w:val="a7"/>
    <w:unhideWhenUsed/>
    <w:rsid w:val="002023B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2023BE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2023BE"/>
    <w:pPr>
      <w:suppressAutoHyphens/>
      <w:spacing w:after="120" w:line="240" w:lineRule="auto"/>
      <w:ind w:left="283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023BE"/>
    <w:rPr>
      <w:rFonts w:ascii="Times New Roman" w:eastAsia="Times New Roman" w:hAnsi="Times New Roman" w:cs="Tms Rmn"/>
      <w:sz w:val="20"/>
      <w:szCs w:val="20"/>
      <w:lang w:eastAsia="ar-SA"/>
    </w:rPr>
  </w:style>
  <w:style w:type="paragraph" w:customStyle="1" w:styleId="1">
    <w:name w:val="Обычный1"/>
    <w:rsid w:val="002023BE"/>
    <w:pPr>
      <w:suppressAutoHyphens/>
      <w:spacing w:after="0" w:line="240" w:lineRule="auto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a">
    <w:name w:val="Body Text"/>
    <w:basedOn w:val="1"/>
    <w:link w:val="ab"/>
    <w:semiHidden/>
    <w:unhideWhenUsed/>
    <w:rsid w:val="002023BE"/>
    <w:pPr>
      <w:spacing w:after="220" w:line="220" w:lineRule="atLeast"/>
      <w:ind w:left="835" w:right="-360"/>
    </w:pPr>
    <w:rPr>
      <w:lang w:val="en-US"/>
    </w:rPr>
  </w:style>
  <w:style w:type="character" w:customStyle="1" w:styleId="ab">
    <w:name w:val="Основной текст Знак"/>
    <w:basedOn w:val="a0"/>
    <w:link w:val="aa"/>
    <w:semiHidden/>
    <w:rsid w:val="002023BE"/>
    <w:rPr>
      <w:rFonts w:ascii="Times New Roman" w:eastAsia="Arial" w:hAnsi="Times New Roman" w:cs="Tms Rm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BE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2023B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2023BE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6">
    <w:name w:val="footer"/>
    <w:basedOn w:val="a"/>
    <w:link w:val="a7"/>
    <w:unhideWhenUsed/>
    <w:rsid w:val="002023B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2023BE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2023BE"/>
    <w:pPr>
      <w:suppressAutoHyphens/>
      <w:spacing w:after="120" w:line="240" w:lineRule="auto"/>
      <w:ind w:left="283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023BE"/>
    <w:rPr>
      <w:rFonts w:ascii="Times New Roman" w:eastAsia="Times New Roman" w:hAnsi="Times New Roman" w:cs="Tms Rmn"/>
      <w:sz w:val="20"/>
      <w:szCs w:val="20"/>
      <w:lang w:eastAsia="ar-SA"/>
    </w:rPr>
  </w:style>
  <w:style w:type="paragraph" w:customStyle="1" w:styleId="1">
    <w:name w:val="Обычный1"/>
    <w:rsid w:val="002023BE"/>
    <w:pPr>
      <w:suppressAutoHyphens/>
      <w:spacing w:after="0" w:line="240" w:lineRule="auto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a">
    <w:name w:val="Body Text"/>
    <w:basedOn w:val="1"/>
    <w:link w:val="ab"/>
    <w:semiHidden/>
    <w:unhideWhenUsed/>
    <w:rsid w:val="002023BE"/>
    <w:pPr>
      <w:spacing w:after="220" w:line="220" w:lineRule="atLeast"/>
      <w:ind w:left="835" w:right="-360"/>
    </w:pPr>
    <w:rPr>
      <w:lang w:val="en-US"/>
    </w:rPr>
  </w:style>
  <w:style w:type="character" w:customStyle="1" w:styleId="ab">
    <w:name w:val="Основной текст Знак"/>
    <w:basedOn w:val="a0"/>
    <w:link w:val="aa"/>
    <w:semiHidden/>
    <w:rsid w:val="002023BE"/>
    <w:rPr>
      <w:rFonts w:ascii="Times New Roman" w:eastAsia="Arial" w:hAnsi="Times New Roman" w:cs="Tms Rm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849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5865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2021-02-11T13:12:00Z</dcterms:created>
  <dcterms:modified xsi:type="dcterms:W3CDTF">2021-02-11T13:16:00Z</dcterms:modified>
</cp:coreProperties>
</file>